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3" w:rsidRPr="00E36F33" w:rsidRDefault="00CE2003" w:rsidP="00CE2003">
      <w:pPr>
        <w:jc w:val="center"/>
        <w:rPr>
          <w:b/>
          <w:sz w:val="36"/>
          <w:szCs w:val="36"/>
        </w:rPr>
      </w:pPr>
      <w:r w:rsidRPr="00E36F33">
        <w:rPr>
          <w:b/>
          <w:sz w:val="36"/>
          <w:szCs w:val="36"/>
        </w:rPr>
        <w:t>MIS Helpful Links and Resources</w:t>
      </w:r>
    </w:p>
    <w:p w:rsidR="00CE2003" w:rsidRPr="00CF3531" w:rsidRDefault="00E36F33" w:rsidP="00CE2003">
      <w:pPr>
        <w:rPr>
          <w:color w:val="2E74B5" w:themeColor="accent1" w:themeShade="BF"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E2003" w:rsidRPr="00CF3531">
        <w:rPr>
          <w:b/>
          <w:bCs/>
          <w:sz w:val="24"/>
          <w:szCs w:val="24"/>
        </w:rPr>
        <w:t xml:space="preserve">Definitions, Reporting, and Assessment: </w:t>
      </w:r>
      <w:r w:rsidR="00CE2003" w:rsidRPr="00CF3531">
        <w:rPr>
          <w:b/>
          <w:bCs/>
          <w:sz w:val="24"/>
          <w:szCs w:val="24"/>
        </w:rPr>
        <w:br/>
      </w:r>
      <w:r w:rsidR="00CE2003" w:rsidRPr="00CF3531">
        <w:rPr>
          <w:sz w:val="24"/>
          <w:szCs w:val="24"/>
        </w:rPr>
        <w:t>DLLR LACES homepage</w:t>
      </w:r>
      <w:r w:rsidR="00CE2003" w:rsidRPr="00CF3531">
        <w:rPr>
          <w:sz w:val="24"/>
          <w:szCs w:val="24"/>
        </w:rPr>
        <w:br/>
      </w:r>
      <w:hyperlink r:id="rId6" w:history="1">
        <w:r w:rsidR="00CE2003" w:rsidRPr="00CF3531">
          <w:rPr>
            <w:rStyle w:val="Hyperlink"/>
            <w:color w:val="2E74B5" w:themeColor="accent1" w:themeShade="BF"/>
            <w:sz w:val="24"/>
            <w:szCs w:val="24"/>
          </w:rPr>
          <w:t>https://lwis.dllr.state.md.us/</w:t>
        </w:r>
      </w:hyperlink>
    </w:p>
    <w:p w:rsidR="00CE2003" w:rsidRPr="00CF3531" w:rsidRDefault="00CE2003" w:rsidP="00CE200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3531">
        <w:rPr>
          <w:sz w:val="24"/>
          <w:szCs w:val="24"/>
        </w:rPr>
        <w:t>Literacy Benchmarks (</w:t>
      </w:r>
      <w:r w:rsidRPr="00CF3531">
        <w:rPr>
          <w:i/>
          <w:sz w:val="24"/>
          <w:szCs w:val="24"/>
        </w:rPr>
        <w:t>NRS Educational Functioning Levels, Test Benchmarks, and Functional Descriptions Definitions</w:t>
      </w:r>
      <w:r w:rsidRPr="00CF3531">
        <w:rPr>
          <w:sz w:val="24"/>
          <w:szCs w:val="24"/>
        </w:rPr>
        <w:t>)</w:t>
      </w:r>
    </w:p>
    <w:p w:rsidR="00CE2003" w:rsidRPr="00CF3531" w:rsidRDefault="00CE2003" w:rsidP="00CE200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3531">
        <w:rPr>
          <w:sz w:val="24"/>
          <w:szCs w:val="24"/>
        </w:rPr>
        <w:t>Glossary (of Adult Education terms)</w:t>
      </w:r>
    </w:p>
    <w:p w:rsidR="00CE2003" w:rsidRPr="00CF3531" w:rsidRDefault="00CE2003" w:rsidP="00CE200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3531">
        <w:rPr>
          <w:sz w:val="24"/>
          <w:szCs w:val="24"/>
        </w:rPr>
        <w:t>Maryland Basic Skills and English Language Assessments Policy</w:t>
      </w:r>
    </w:p>
    <w:p w:rsidR="00CE2003" w:rsidRPr="00CF3531" w:rsidRDefault="00CE2003" w:rsidP="00CE200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3531">
        <w:rPr>
          <w:sz w:val="24"/>
          <w:szCs w:val="24"/>
        </w:rPr>
        <w:t xml:space="preserve">State Model Data Collection form </w:t>
      </w:r>
    </w:p>
    <w:p w:rsidR="00CE2003" w:rsidRPr="00CF3531" w:rsidRDefault="00CE2003" w:rsidP="00CE200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3531">
        <w:rPr>
          <w:sz w:val="24"/>
          <w:szCs w:val="24"/>
        </w:rPr>
        <w:t>LACES training materials</w:t>
      </w:r>
    </w:p>
    <w:p w:rsidR="00CE2003" w:rsidRPr="00CF3531" w:rsidRDefault="00CE2003" w:rsidP="00CE2003">
      <w:pPr>
        <w:pStyle w:val="Par6ptBefore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155"/>
        <w:gridCol w:w="3178"/>
      </w:tblGrid>
      <w:tr w:rsidR="00CF3531" w:rsidRPr="00CF3531" w:rsidTr="00CE200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CF3531" w:rsidRDefault="00CE2003" w:rsidP="00CE2003">
            <w:pPr>
              <w:pStyle w:val="Par6ptBefore"/>
              <w:tabs>
                <w:tab w:val="center" w:pos="1728"/>
              </w:tabs>
              <w:jc w:val="center"/>
              <w:rPr>
                <w:rFonts w:asciiTheme="minorHAnsi" w:hAnsiTheme="minorHAnsi"/>
                <w:b/>
              </w:rPr>
            </w:pPr>
            <w:r w:rsidRPr="00CF3531">
              <w:rPr>
                <w:rFonts w:asciiTheme="minorHAnsi" w:eastAsia="Times" w:hAnsiTheme="minorHAnsi"/>
                <w:b/>
              </w:rPr>
              <w:t>CASAS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CF3531" w:rsidRDefault="00CE2003" w:rsidP="00CE2003">
            <w:pPr>
              <w:pStyle w:val="Par6ptBefore"/>
              <w:jc w:val="center"/>
              <w:rPr>
                <w:rFonts w:asciiTheme="minorHAnsi" w:hAnsiTheme="minorHAnsi"/>
                <w:b/>
              </w:rPr>
            </w:pPr>
            <w:r w:rsidRPr="00CF3531">
              <w:rPr>
                <w:rFonts w:asciiTheme="minorHAnsi" w:eastAsia="Times" w:hAnsiTheme="minorHAnsi"/>
                <w:b/>
              </w:rPr>
              <w:t>BEST Plus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CF3531" w:rsidRDefault="00CE2003" w:rsidP="00CE2003">
            <w:pPr>
              <w:pStyle w:val="Par6ptBefore"/>
              <w:jc w:val="center"/>
              <w:rPr>
                <w:rFonts w:asciiTheme="minorHAnsi" w:hAnsiTheme="minorHAnsi"/>
                <w:b/>
              </w:rPr>
            </w:pPr>
            <w:r w:rsidRPr="00CF3531">
              <w:rPr>
                <w:rFonts w:asciiTheme="minorHAnsi" w:hAnsiTheme="minorHAnsi"/>
                <w:b/>
              </w:rPr>
              <w:t>TABE</w:t>
            </w:r>
          </w:p>
        </w:tc>
      </w:tr>
      <w:tr w:rsidR="00CF3531" w:rsidRPr="00CF3531" w:rsidTr="00CE200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E36F33" w:rsidRDefault="004B16EC" w:rsidP="00CE2003">
            <w:pPr>
              <w:pStyle w:val="Par6ptBefore"/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hyperlink r:id="rId7" w:history="1">
              <w:r w:rsidR="00CE2003" w:rsidRPr="00E36F33">
                <w:rPr>
                  <w:rStyle w:val="Hyperlink"/>
                  <w:rFonts w:asciiTheme="minorHAnsi" w:hAnsiTheme="minorHAnsi"/>
                  <w:color w:val="2E74B5" w:themeColor="accent1" w:themeShade="BF"/>
                </w:rPr>
                <w:t>http://www.casas.org</w:t>
              </w:r>
            </w:hyperlink>
            <w:r w:rsidR="00CE2003" w:rsidRPr="00E36F33">
              <w:rPr>
                <w:rFonts w:asciiTheme="minorHAnsi" w:hAnsiTheme="minorHAnsi"/>
                <w:color w:val="2E74B5" w:themeColor="accent1" w:themeShade="BF"/>
              </w:rPr>
              <w:t>/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E36F33" w:rsidRDefault="004B16EC" w:rsidP="00CE2003">
            <w:pPr>
              <w:pStyle w:val="Par6ptBefore"/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hyperlink r:id="rId8" w:history="1">
              <w:r w:rsidR="00CE2003" w:rsidRPr="00E36F33">
                <w:rPr>
                  <w:rStyle w:val="Hyperlink"/>
                  <w:rFonts w:asciiTheme="minorHAnsi" w:hAnsiTheme="minorHAnsi"/>
                  <w:color w:val="2E74B5" w:themeColor="accent1" w:themeShade="BF"/>
                </w:rPr>
                <w:t>http://www.cal.org/</w:t>
              </w:r>
            </w:hyperlink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003" w:rsidRPr="00E36F33" w:rsidRDefault="004B16EC" w:rsidP="00CE2003">
            <w:pPr>
              <w:spacing w:after="0" w:line="240" w:lineRule="auto"/>
              <w:jc w:val="center"/>
              <w:rPr>
                <w:color w:val="2E74B5" w:themeColor="accent1" w:themeShade="BF"/>
                <w:sz w:val="24"/>
                <w:szCs w:val="24"/>
              </w:rPr>
            </w:pPr>
            <w:hyperlink r:id="rId9" w:history="1">
              <w:r w:rsidR="00CE2003" w:rsidRPr="00E36F33">
                <w:rPr>
                  <w:rStyle w:val="Hyperlink"/>
                  <w:color w:val="2E74B5" w:themeColor="accent1" w:themeShade="BF"/>
                  <w:sz w:val="24"/>
                  <w:szCs w:val="24"/>
                </w:rPr>
                <w:t>http://tabetest.com/</w:t>
              </w:r>
            </w:hyperlink>
          </w:p>
        </w:tc>
      </w:tr>
    </w:tbl>
    <w:p w:rsidR="00CE2003" w:rsidRPr="00CF3531" w:rsidRDefault="00CE2003" w:rsidP="00CE2003">
      <w:pPr>
        <w:pStyle w:val="Par6ptBefore"/>
        <w:rPr>
          <w:rFonts w:asciiTheme="minorHAnsi" w:hAnsiTheme="minorHAnsi"/>
        </w:rPr>
      </w:pPr>
    </w:p>
    <w:p w:rsidR="00CE2003" w:rsidRPr="00CF3531" w:rsidRDefault="00CE2003" w:rsidP="00CE2003">
      <w:pPr>
        <w:pStyle w:val="Par6ptBefore"/>
        <w:rPr>
          <w:rFonts w:asciiTheme="minorHAnsi" w:hAnsiTheme="minorHAnsi"/>
          <w:b/>
        </w:rPr>
      </w:pPr>
      <w:r w:rsidRPr="00CF3531">
        <w:rPr>
          <w:rFonts w:asciiTheme="minorHAnsi" w:hAnsiTheme="minorHAnsi"/>
          <w:b/>
        </w:rPr>
        <w:t>National Reporting System (NRS)</w:t>
      </w:r>
    </w:p>
    <w:p w:rsidR="005E138E" w:rsidRPr="00CF3531" w:rsidRDefault="004B16EC" w:rsidP="00CE2003">
      <w:pPr>
        <w:rPr>
          <w:color w:val="2E74B5" w:themeColor="accent1" w:themeShade="BF"/>
          <w:sz w:val="24"/>
          <w:szCs w:val="24"/>
        </w:rPr>
      </w:pPr>
      <w:hyperlink r:id="rId10" w:history="1">
        <w:r w:rsidR="00CE2003" w:rsidRPr="00CF3531">
          <w:rPr>
            <w:rStyle w:val="Hyperlink"/>
            <w:color w:val="2E74B5" w:themeColor="accent1" w:themeShade="BF"/>
            <w:sz w:val="24"/>
            <w:szCs w:val="24"/>
          </w:rPr>
          <w:t>http://www.nrsweb.org/</w:t>
        </w:r>
      </w:hyperlink>
      <w:r w:rsidR="00CE2003" w:rsidRPr="00CF3531">
        <w:rPr>
          <w:color w:val="2E74B5" w:themeColor="accent1" w:themeShade="BF"/>
          <w:sz w:val="24"/>
          <w:szCs w:val="24"/>
          <w:u w:val="single"/>
        </w:rPr>
        <w:br/>
      </w:r>
      <w:r w:rsidR="00CE2003" w:rsidRPr="00CF3531">
        <w:rPr>
          <w:rFonts w:eastAsia="Times"/>
          <w:sz w:val="24"/>
          <w:szCs w:val="24"/>
        </w:rPr>
        <w:br/>
      </w:r>
      <w:bookmarkStart w:id="0" w:name="Standards"/>
      <w:bookmarkEnd w:id="0"/>
      <w:r w:rsidR="00CE2003" w:rsidRPr="00CF3531">
        <w:rPr>
          <w:b/>
          <w:bCs/>
          <w:sz w:val="24"/>
          <w:szCs w:val="24"/>
        </w:rPr>
        <w:t>Maryland Adult Education Standards</w:t>
      </w:r>
      <w:proofErr w:type="gramStart"/>
      <w:r w:rsidR="00CE2003" w:rsidRPr="00CF3531">
        <w:rPr>
          <w:b/>
          <w:bCs/>
          <w:sz w:val="24"/>
          <w:szCs w:val="24"/>
        </w:rPr>
        <w:t>:</w:t>
      </w:r>
      <w:proofErr w:type="gramEnd"/>
      <w:r w:rsidR="00CE2003" w:rsidRPr="00CF3531">
        <w:rPr>
          <w:b/>
          <w:bCs/>
          <w:sz w:val="24"/>
          <w:szCs w:val="24"/>
        </w:rPr>
        <w:br/>
      </w:r>
      <w:r w:rsidR="00CE2003" w:rsidRPr="00CF3531">
        <w:rPr>
          <w:sz w:val="24"/>
          <w:szCs w:val="24"/>
        </w:rPr>
        <w:t>Maryland Adult Education and Literacy Services</w:t>
      </w:r>
      <w:r w:rsidR="00CE2003" w:rsidRPr="00CF3531">
        <w:rPr>
          <w:sz w:val="24"/>
          <w:szCs w:val="24"/>
        </w:rPr>
        <w:br/>
      </w:r>
      <w:hyperlink r:id="rId11" w:history="1">
        <w:r w:rsidR="00CE2003" w:rsidRPr="00CF3531">
          <w:rPr>
            <w:rStyle w:val="Hyperlink"/>
            <w:color w:val="2E74B5" w:themeColor="accent1" w:themeShade="BF"/>
            <w:sz w:val="24"/>
            <w:szCs w:val="24"/>
          </w:rPr>
          <w:t>http://www.dllr.maryland.gov/gedmd/esl.shtml</w:t>
        </w:r>
      </w:hyperlink>
      <w:r w:rsidR="00CE2003" w:rsidRPr="00CF3531">
        <w:rPr>
          <w:color w:val="2E74B5" w:themeColor="accent1" w:themeShade="BF"/>
          <w:sz w:val="24"/>
          <w:szCs w:val="24"/>
          <w:u w:val="single"/>
        </w:rPr>
        <w:br/>
      </w:r>
      <w:r w:rsidR="00CE2003" w:rsidRPr="00CF3531">
        <w:rPr>
          <w:sz w:val="24"/>
          <w:szCs w:val="24"/>
          <w:u w:val="single"/>
        </w:rPr>
        <w:br/>
      </w:r>
      <w:r w:rsidR="00CE2003" w:rsidRPr="00CF3531">
        <w:rPr>
          <w:b/>
          <w:bCs/>
          <w:sz w:val="24"/>
          <w:szCs w:val="24"/>
        </w:rPr>
        <w:t xml:space="preserve">SharePoint: </w:t>
      </w:r>
      <w:r w:rsidR="00CE2003" w:rsidRPr="00CF3531">
        <w:rPr>
          <w:bCs/>
          <w:sz w:val="24"/>
          <w:szCs w:val="24"/>
        </w:rPr>
        <w:br/>
      </w:r>
      <w:hyperlink r:id="rId12" w:history="1">
        <w:r w:rsidR="00CE2003" w:rsidRPr="00CF3531">
          <w:rPr>
            <w:rStyle w:val="Hyperlink"/>
            <w:bCs/>
            <w:color w:val="2E74B5" w:themeColor="accent1" w:themeShade="BF"/>
            <w:sz w:val="24"/>
            <w:szCs w:val="24"/>
          </w:rPr>
          <w:t>http://aels.dllr.state.md.us/default.aspx</w:t>
        </w:r>
      </w:hyperlink>
      <w:r w:rsidR="00CE2003" w:rsidRPr="00CF3531">
        <w:rPr>
          <w:b/>
          <w:bCs/>
          <w:color w:val="2E74B5" w:themeColor="accent1" w:themeShade="BF"/>
          <w:sz w:val="24"/>
          <w:szCs w:val="24"/>
        </w:rPr>
        <w:br/>
      </w:r>
      <w:r w:rsidR="00CE2003" w:rsidRPr="00CF3531">
        <w:rPr>
          <w:b/>
          <w:bCs/>
          <w:sz w:val="24"/>
          <w:szCs w:val="24"/>
        </w:rPr>
        <w:br/>
        <w:t xml:space="preserve">LACES: </w:t>
      </w:r>
      <w:r w:rsidR="00CE2003" w:rsidRPr="00CF3531">
        <w:rPr>
          <w:b/>
          <w:bCs/>
          <w:sz w:val="24"/>
          <w:szCs w:val="24"/>
        </w:rPr>
        <w:br/>
      </w:r>
      <w:hyperlink r:id="rId13" w:history="1">
        <w:r w:rsidR="005E138E" w:rsidRPr="00CF3531">
          <w:rPr>
            <w:rStyle w:val="Hyperlink"/>
            <w:color w:val="2E74B5" w:themeColor="accent1" w:themeShade="BF"/>
            <w:sz w:val="24"/>
            <w:szCs w:val="24"/>
          </w:rPr>
          <w:t>https://laces.literacypro.com/laces</w:t>
        </w:r>
      </w:hyperlink>
    </w:p>
    <w:p w:rsidR="00CE2003" w:rsidRPr="00CF3531" w:rsidRDefault="005E138E" w:rsidP="00CE2003">
      <w:pPr>
        <w:rPr>
          <w:b/>
          <w:bCs/>
          <w:color w:val="2E74B5" w:themeColor="accent1" w:themeShade="BF"/>
          <w:sz w:val="24"/>
          <w:szCs w:val="24"/>
        </w:rPr>
      </w:pPr>
      <w:r w:rsidRPr="00CF3531">
        <w:rPr>
          <w:b/>
          <w:sz w:val="24"/>
          <w:szCs w:val="24"/>
        </w:rPr>
        <w:t>LACES Helpdesk email address</w:t>
      </w:r>
      <w:proofErr w:type="gramStart"/>
      <w:r w:rsidRPr="00CF3531">
        <w:rPr>
          <w:b/>
          <w:sz w:val="24"/>
          <w:szCs w:val="24"/>
        </w:rPr>
        <w:t>:</w:t>
      </w:r>
      <w:proofErr w:type="gramEnd"/>
      <w:r w:rsidRPr="00CF3531">
        <w:rPr>
          <w:b/>
          <w:sz w:val="24"/>
          <w:szCs w:val="24"/>
        </w:rPr>
        <w:br/>
      </w:r>
      <w:r w:rsidRPr="00CF3531">
        <w:rPr>
          <w:bCs/>
          <w:color w:val="2E74B5" w:themeColor="accent1" w:themeShade="BF"/>
          <w:sz w:val="24"/>
          <w:szCs w:val="24"/>
          <w:u w:val="single"/>
        </w:rPr>
        <w:t>helpdesk@literacypro.com</w:t>
      </w:r>
      <w:r w:rsidR="00CE2003" w:rsidRPr="00CF3531">
        <w:rPr>
          <w:bCs/>
          <w:color w:val="2E74B5" w:themeColor="accent1" w:themeShade="BF"/>
          <w:sz w:val="24"/>
          <w:szCs w:val="24"/>
          <w:u w:val="single"/>
        </w:rPr>
        <w:br/>
      </w:r>
      <w:r w:rsidR="00CE2003" w:rsidRPr="00CF3531">
        <w:rPr>
          <w:b/>
          <w:sz w:val="24"/>
          <w:szCs w:val="24"/>
        </w:rPr>
        <w:br/>
        <w:t xml:space="preserve">Maryland Basic Skills and English Language Assessments Policy: </w:t>
      </w:r>
      <w:r w:rsidR="00CE2003" w:rsidRPr="00CF3531">
        <w:rPr>
          <w:b/>
          <w:sz w:val="24"/>
          <w:szCs w:val="24"/>
        </w:rPr>
        <w:br/>
      </w:r>
      <w:hyperlink r:id="rId14" w:history="1">
        <w:r w:rsidR="00CE2003" w:rsidRPr="00CF3531">
          <w:rPr>
            <w:rStyle w:val="Hyperlink"/>
            <w:color w:val="2E74B5" w:themeColor="accent1" w:themeShade="BF"/>
            <w:sz w:val="24"/>
            <w:szCs w:val="24"/>
          </w:rPr>
          <w:t>http://www.dllr.state.md.us/employment/mpi/mpi3-17.pdf</w:t>
        </w:r>
      </w:hyperlink>
      <w:r w:rsidR="00CE2003" w:rsidRPr="00CF3531">
        <w:rPr>
          <w:color w:val="2E74B5" w:themeColor="accent1" w:themeShade="BF"/>
          <w:sz w:val="24"/>
          <w:szCs w:val="24"/>
        </w:rPr>
        <w:br/>
      </w:r>
      <w:r w:rsidR="00CE2003" w:rsidRPr="00CF3531">
        <w:rPr>
          <w:sz w:val="24"/>
          <w:szCs w:val="24"/>
        </w:rPr>
        <w:br/>
      </w:r>
      <w:r w:rsidR="00CE2003" w:rsidRPr="00CF3531">
        <w:rPr>
          <w:b/>
          <w:sz w:val="24"/>
          <w:szCs w:val="24"/>
        </w:rPr>
        <w:t xml:space="preserve">Google Drive for MIS Handbook and LACES Documents: </w:t>
      </w:r>
      <w:r w:rsidR="00CE2003" w:rsidRPr="00CF3531">
        <w:rPr>
          <w:b/>
          <w:sz w:val="24"/>
          <w:szCs w:val="24"/>
        </w:rPr>
        <w:br/>
      </w:r>
      <w:hyperlink r:id="rId15" w:history="1">
        <w:r w:rsidR="00CE2003" w:rsidRPr="00CF3531">
          <w:rPr>
            <w:rStyle w:val="Hyperlink"/>
            <w:color w:val="2E74B5" w:themeColor="accent1" w:themeShade="BF"/>
            <w:sz w:val="24"/>
            <w:szCs w:val="24"/>
          </w:rPr>
          <w:t>https://drive.google.com/drive/folders/0Bz9asuZ_t9APXzFOamhtS0diV0U</w:t>
        </w:r>
      </w:hyperlink>
    </w:p>
    <w:p w:rsidR="00E92D53" w:rsidRPr="00CF3531" w:rsidRDefault="00F632C3">
      <w:pPr>
        <w:rPr>
          <w:sz w:val="24"/>
          <w:szCs w:val="24"/>
        </w:rPr>
      </w:pPr>
      <w:r w:rsidRPr="00CF3531">
        <w:rPr>
          <w:b/>
          <w:sz w:val="24"/>
          <w:szCs w:val="24"/>
        </w:rPr>
        <w:lastRenderedPageBreak/>
        <w:t>LACES Workgroup</w:t>
      </w:r>
      <w:proofErr w:type="gramStart"/>
      <w:r w:rsidRPr="00CF3531">
        <w:rPr>
          <w:b/>
          <w:sz w:val="24"/>
          <w:szCs w:val="24"/>
        </w:rPr>
        <w:t>:</w:t>
      </w:r>
      <w:proofErr w:type="gramEnd"/>
      <w:r w:rsidRPr="00CF3531">
        <w:rPr>
          <w:b/>
          <w:sz w:val="24"/>
          <w:szCs w:val="24"/>
        </w:rPr>
        <w:br/>
      </w:r>
      <w:r w:rsidR="005E138E" w:rsidRPr="00CF3531">
        <w:rPr>
          <w:sz w:val="24"/>
          <w:szCs w:val="24"/>
        </w:rPr>
        <w:t xml:space="preserve">The LACES Workgroup </w:t>
      </w:r>
      <w:r w:rsidR="005E138E" w:rsidRPr="00CF3531">
        <w:rPr>
          <w:rFonts w:cs="Arial"/>
          <w:sz w:val="24"/>
          <w:szCs w:val="24"/>
          <w:shd w:val="clear" w:color="auto" w:fill="FFFFFF"/>
        </w:rPr>
        <w:t xml:space="preserve">is comprised of </w:t>
      </w:r>
      <w:r w:rsidRPr="00CF3531">
        <w:rPr>
          <w:rFonts w:cs="Arial"/>
          <w:sz w:val="24"/>
          <w:szCs w:val="24"/>
          <w:shd w:val="clear" w:color="auto" w:fill="FFFFFF"/>
        </w:rPr>
        <w:t xml:space="preserve">local program </w:t>
      </w:r>
      <w:r w:rsidR="005E138E" w:rsidRPr="00CF3531">
        <w:rPr>
          <w:rFonts w:cs="Arial"/>
          <w:sz w:val="24"/>
          <w:szCs w:val="24"/>
          <w:shd w:val="clear" w:color="auto" w:fill="FFFFFF"/>
        </w:rPr>
        <w:t xml:space="preserve">MIS, Administrators, IAS and IS who are interested in more in-depth knowledge of LACES, our State data management system. Ideas are shared, </w:t>
      </w:r>
      <w:r w:rsidRPr="00CF3531">
        <w:rPr>
          <w:rFonts w:cs="Arial"/>
          <w:sz w:val="24"/>
          <w:szCs w:val="24"/>
          <w:shd w:val="clear" w:color="auto" w:fill="FFFFFF"/>
        </w:rPr>
        <w:t xml:space="preserve">data workflow </w:t>
      </w:r>
      <w:r w:rsidR="005E138E" w:rsidRPr="00CF3531">
        <w:rPr>
          <w:rFonts w:cs="Arial"/>
          <w:sz w:val="24"/>
          <w:szCs w:val="24"/>
          <w:shd w:val="clear" w:color="auto" w:fill="FFFFFF"/>
        </w:rPr>
        <w:t>best practices are discussed and a variety of questions and answers are shared while</w:t>
      </w:r>
      <w:r w:rsidRPr="00CF3531">
        <w:rPr>
          <w:rFonts w:cs="Arial"/>
          <w:sz w:val="24"/>
          <w:szCs w:val="24"/>
          <w:shd w:val="clear" w:color="auto" w:fill="FFFFFF"/>
        </w:rPr>
        <w:t xml:space="preserve"> having </w:t>
      </w:r>
      <w:r w:rsidR="00CF3531" w:rsidRPr="00CF3531">
        <w:rPr>
          <w:rFonts w:cs="Arial"/>
          <w:sz w:val="24"/>
          <w:szCs w:val="24"/>
          <w:shd w:val="clear" w:color="auto" w:fill="FFFFFF"/>
        </w:rPr>
        <w:t>the</w:t>
      </w:r>
      <w:r w:rsidRPr="00CF3531">
        <w:rPr>
          <w:rFonts w:cs="Arial"/>
          <w:sz w:val="24"/>
          <w:szCs w:val="24"/>
          <w:shd w:val="clear" w:color="auto" w:fill="FFFFFF"/>
        </w:rPr>
        <w:t xml:space="preserve"> opportunity to network with </w:t>
      </w:r>
      <w:r w:rsidR="00CF3531" w:rsidRPr="00CF3531">
        <w:rPr>
          <w:rFonts w:cs="Arial"/>
          <w:sz w:val="24"/>
          <w:szCs w:val="24"/>
          <w:shd w:val="clear" w:color="auto" w:fill="FFFFFF"/>
        </w:rPr>
        <w:t>colleagues</w:t>
      </w:r>
      <w:r w:rsidRPr="00CF3531">
        <w:rPr>
          <w:rFonts w:cs="Arial"/>
          <w:sz w:val="24"/>
          <w:szCs w:val="24"/>
          <w:shd w:val="clear" w:color="auto" w:fill="FFFFFF"/>
        </w:rPr>
        <w:t xml:space="preserve"> around the state.</w:t>
      </w:r>
      <w:r w:rsidR="004B16EC">
        <w:rPr>
          <w:rFonts w:cs="Arial"/>
          <w:sz w:val="24"/>
          <w:szCs w:val="24"/>
          <w:shd w:val="clear" w:color="auto" w:fill="FFFFFF"/>
        </w:rPr>
        <w:t xml:space="preserve"> The group meets roughly every six weeks in either Howard or Anne Arundel County in the central part of the state.</w:t>
      </w:r>
      <w:bookmarkStart w:id="1" w:name="_GoBack"/>
      <w:bookmarkEnd w:id="1"/>
    </w:p>
    <w:p w:rsidR="005E138E" w:rsidRPr="00CF3531" w:rsidRDefault="005E138E">
      <w:pPr>
        <w:rPr>
          <w:sz w:val="24"/>
          <w:szCs w:val="24"/>
        </w:rPr>
      </w:pPr>
      <w:r w:rsidRPr="00CF3531">
        <w:rPr>
          <w:sz w:val="24"/>
          <w:szCs w:val="24"/>
        </w:rPr>
        <w:t>For more information, please contact:</w:t>
      </w:r>
    </w:p>
    <w:p w:rsidR="005E138E" w:rsidRPr="00CF3531" w:rsidRDefault="005E138E">
      <w:pPr>
        <w:rPr>
          <w:sz w:val="24"/>
          <w:szCs w:val="24"/>
        </w:rPr>
      </w:pPr>
      <w:r w:rsidRPr="00CF3531">
        <w:rPr>
          <w:b/>
          <w:sz w:val="24"/>
          <w:szCs w:val="24"/>
        </w:rPr>
        <w:t>Melissa Desi</w:t>
      </w:r>
      <w:r w:rsidRPr="00CF3531">
        <w:rPr>
          <w:b/>
          <w:sz w:val="24"/>
          <w:szCs w:val="24"/>
        </w:rPr>
        <w:br/>
      </w:r>
      <w:r w:rsidRPr="00CF3531">
        <w:rPr>
          <w:sz w:val="24"/>
          <w:szCs w:val="24"/>
        </w:rPr>
        <w:t>Education Program Specialist</w:t>
      </w:r>
      <w:r w:rsidRPr="00CF3531">
        <w:rPr>
          <w:sz w:val="24"/>
          <w:szCs w:val="24"/>
        </w:rPr>
        <w:br/>
        <w:t>Division of Workforce Development and Adult Learning</w:t>
      </w:r>
      <w:r w:rsidRPr="00CF3531">
        <w:rPr>
          <w:sz w:val="24"/>
          <w:szCs w:val="24"/>
        </w:rPr>
        <w:br/>
        <w:t>Maryland Department of Labor, Licensing and Regulation</w:t>
      </w:r>
      <w:r w:rsidRPr="00CF3531">
        <w:rPr>
          <w:sz w:val="24"/>
          <w:szCs w:val="24"/>
        </w:rPr>
        <w:br/>
        <w:t>1100 North Eutaw Street, Room 120</w:t>
      </w:r>
      <w:r w:rsidRPr="00CF3531">
        <w:rPr>
          <w:sz w:val="24"/>
          <w:szCs w:val="24"/>
        </w:rPr>
        <w:br/>
        <w:t>Baltimore, MD 21201</w:t>
      </w:r>
      <w:r w:rsidRPr="00CF3531">
        <w:rPr>
          <w:sz w:val="24"/>
          <w:szCs w:val="24"/>
        </w:rPr>
        <w:br/>
      </w:r>
      <w:hyperlink r:id="rId16" w:history="1">
        <w:r w:rsidRPr="00CF3531">
          <w:rPr>
            <w:rStyle w:val="Hyperlink"/>
            <w:color w:val="2E74B5" w:themeColor="accent1" w:themeShade="BF"/>
            <w:sz w:val="24"/>
            <w:szCs w:val="24"/>
          </w:rPr>
          <w:t>Melissa.Desi@maryland.gov</w:t>
        </w:r>
      </w:hyperlink>
      <w:r w:rsidRPr="00CF3531">
        <w:rPr>
          <w:color w:val="2E74B5" w:themeColor="accent1" w:themeShade="BF"/>
          <w:sz w:val="24"/>
          <w:szCs w:val="24"/>
        </w:rPr>
        <w:br/>
      </w:r>
      <w:r w:rsidRPr="00CF3531">
        <w:rPr>
          <w:sz w:val="24"/>
          <w:szCs w:val="24"/>
        </w:rPr>
        <w:t>410.767.0530 (office)</w:t>
      </w:r>
      <w:r w:rsidRPr="00CF3531">
        <w:rPr>
          <w:sz w:val="24"/>
          <w:szCs w:val="24"/>
        </w:rPr>
        <w:br/>
        <w:t>443.687.6039 (cell)</w:t>
      </w:r>
      <w:r w:rsidRPr="00CF3531">
        <w:rPr>
          <w:sz w:val="24"/>
          <w:szCs w:val="24"/>
        </w:rPr>
        <w:br/>
      </w:r>
    </w:p>
    <w:p w:rsidR="005E138E" w:rsidRPr="00CF3531" w:rsidRDefault="005E138E">
      <w:pPr>
        <w:rPr>
          <w:sz w:val="24"/>
          <w:szCs w:val="24"/>
        </w:rPr>
      </w:pPr>
    </w:p>
    <w:sectPr w:rsidR="005E138E" w:rsidRPr="00CF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64E5"/>
    <w:multiLevelType w:val="hybridMultilevel"/>
    <w:tmpl w:val="D5A4A3E4"/>
    <w:lvl w:ilvl="0" w:tplc="111E01D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03"/>
    <w:rsid w:val="004B16EC"/>
    <w:rsid w:val="005E138E"/>
    <w:rsid w:val="00CE2003"/>
    <w:rsid w:val="00CF3531"/>
    <w:rsid w:val="00E36F33"/>
    <w:rsid w:val="00E92D53"/>
    <w:rsid w:val="00F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03"/>
    <w:rPr>
      <w:color w:val="0563C1" w:themeColor="hyperlink"/>
      <w:u w:val="single"/>
    </w:rPr>
  </w:style>
  <w:style w:type="paragraph" w:customStyle="1" w:styleId="Par6ptBefore">
    <w:name w:val="Par6ptBefore"/>
    <w:basedOn w:val="Normal"/>
    <w:rsid w:val="00CE200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6F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03"/>
    <w:rPr>
      <w:color w:val="0563C1" w:themeColor="hyperlink"/>
      <w:u w:val="single"/>
    </w:rPr>
  </w:style>
  <w:style w:type="paragraph" w:customStyle="1" w:styleId="Par6ptBefore">
    <w:name w:val="Par6ptBefore"/>
    <w:basedOn w:val="Normal"/>
    <w:rsid w:val="00CE200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6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.org/" TargetMode="External"/><Relationship Id="rId13" Type="http://schemas.openxmlformats.org/officeDocument/2006/relationships/hyperlink" Target="https://laces.literacypro.com/lac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sas.org" TargetMode="External"/><Relationship Id="rId12" Type="http://schemas.openxmlformats.org/officeDocument/2006/relationships/hyperlink" Target="http://aels.dllr.state.md.u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lissa.Desi@maryland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wis.dllr.state.md.us/" TargetMode="External"/><Relationship Id="rId11" Type="http://schemas.openxmlformats.org/officeDocument/2006/relationships/hyperlink" Target="http://www.dllr.maryland.gov/gedmd/esl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0Bz9asuZ_t9APXzFOamhtS0diV0U" TargetMode="External"/><Relationship Id="rId10" Type="http://schemas.openxmlformats.org/officeDocument/2006/relationships/hyperlink" Target="http://www.nrswe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betest.com/" TargetMode="External"/><Relationship Id="rId14" Type="http://schemas.openxmlformats.org/officeDocument/2006/relationships/hyperlink" Target="http://www.dllr.state.md.us/employment/mpi/mpi3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Desi</dc:creator>
  <cp:keywords/>
  <dc:description/>
  <cp:lastModifiedBy>Melissa Desi</cp:lastModifiedBy>
  <cp:revision>4</cp:revision>
  <dcterms:created xsi:type="dcterms:W3CDTF">2017-12-06T18:16:00Z</dcterms:created>
  <dcterms:modified xsi:type="dcterms:W3CDTF">2017-12-08T17:52:00Z</dcterms:modified>
</cp:coreProperties>
</file>