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6F2" w:rsidRDefault="000556F2" w:rsidP="000556F2">
      <w:pPr>
        <w:widowControl w:val="0"/>
        <w:jc w:val="center"/>
        <w:rPr>
          <w:rFonts w:ascii="Verdana" w:eastAsia="Verdana" w:hAnsi="Verdana" w:cs="Verdana"/>
          <w:b/>
          <w:color w:val="4472C4"/>
        </w:rPr>
      </w:pPr>
      <w:r>
        <w:rPr>
          <w:rFonts w:ascii="Verdana" w:eastAsia="Verdana" w:hAnsi="Verdana" w:cs="Verdana"/>
          <w:b/>
          <w:color w:val="4472C4"/>
        </w:rPr>
        <w:t>Maryland Occupational Safety and Health (MOSH)</w:t>
      </w:r>
    </w:p>
    <w:p w:rsidR="000556F2" w:rsidRDefault="000556F2" w:rsidP="000556F2">
      <w:pPr>
        <w:widowControl w:val="0"/>
        <w:jc w:val="center"/>
        <w:rPr>
          <w:b/>
          <w:color w:val="4472C4"/>
        </w:rPr>
      </w:pPr>
      <w:r>
        <w:rPr>
          <w:rFonts w:ascii="Verdana" w:eastAsia="Verdana" w:hAnsi="Verdana" w:cs="Verdana"/>
          <w:b/>
          <w:color w:val="4472C4"/>
        </w:rPr>
        <w:t>Strategic Plan 2023-2027</w:t>
      </w:r>
    </w:p>
    <w:p w:rsidR="000556F2" w:rsidRDefault="000556F2" w:rsidP="000556F2">
      <w:pPr>
        <w:widowControl w:val="0"/>
        <w:jc w:val="center"/>
        <w:rPr>
          <w:color w:val="000000"/>
        </w:rPr>
      </w:pPr>
    </w:p>
    <w:p w:rsidR="000556F2" w:rsidRDefault="000556F2" w:rsidP="000556F2">
      <w:pPr>
        <w:widowControl w:val="0"/>
        <w:jc w:val="center"/>
        <w:rPr>
          <w:color w:val="000000"/>
        </w:rPr>
      </w:pPr>
    </w:p>
    <w:tbl>
      <w:tblPr>
        <w:tblW w:w="930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0"/>
      </w:tblGrid>
      <w:tr w:rsidR="000556F2" w:rsidTr="00CA0306">
        <w:tc>
          <w:tcPr>
            <w:tcW w:w="9300" w:type="dxa"/>
            <w:shd w:val="clear" w:color="auto" w:fill="3366CC"/>
          </w:tcPr>
          <w:p w:rsidR="000556F2" w:rsidRDefault="000556F2" w:rsidP="00CA0306">
            <w:pPr>
              <w:rPr>
                <w:rFonts w:ascii="Arimo" w:eastAsia="Arimo" w:hAnsi="Arimo" w:cs="Arimo"/>
                <w:color w:val="FFFFFF"/>
              </w:rPr>
            </w:pPr>
            <w:r>
              <w:rPr>
                <w:rFonts w:ascii="Verdana" w:eastAsia="Verdana" w:hAnsi="Verdana" w:cs="Verdana"/>
                <w:b/>
                <w:color w:val="FFFFFF"/>
              </w:rPr>
              <w:t>Section 1 – MISSION AND VISION:</w:t>
            </w:r>
          </w:p>
        </w:tc>
      </w:tr>
    </w:tbl>
    <w:p w:rsidR="000556F2" w:rsidRDefault="000556F2" w:rsidP="000556F2">
      <w:pPr>
        <w:widowControl w:val="0"/>
        <w:rPr>
          <w:rFonts w:ascii="Verdana" w:eastAsia="Verdana" w:hAnsi="Verdana" w:cs="Verdana"/>
          <w:color w:val="666699"/>
          <w:sz w:val="19"/>
          <w:szCs w:val="19"/>
        </w:rPr>
      </w:pPr>
    </w:p>
    <w:p w:rsidR="000556F2" w:rsidRDefault="000556F2" w:rsidP="000556F2">
      <w:pPr>
        <w:widowControl w:val="0"/>
        <w:rPr>
          <w:rFonts w:ascii="Verdana" w:eastAsia="Verdana" w:hAnsi="Verdana" w:cs="Verdana"/>
          <w:color w:val="3366CC"/>
          <w:sz w:val="19"/>
          <w:szCs w:val="19"/>
        </w:rPr>
      </w:pPr>
      <w:r>
        <w:rPr>
          <w:rFonts w:ascii="Verdana" w:eastAsia="Verdana" w:hAnsi="Verdana" w:cs="Verdana"/>
          <w:color w:val="3366CC"/>
          <w:sz w:val="19"/>
          <w:szCs w:val="19"/>
        </w:rPr>
        <w:t>The MOSH Strategic Plan presents MOSH’s approach for supporting the Occupational Safety and Health Administration Strategic Management Plan and the State Administration’s Management for Results.  It describes priorities for the 2023-2027 timeframe. The plan serves as a mechanism for communicating a shared set of expectations regarding the results that MOSH expects to achieve and the strategies that it will use. In cooperation with OSHA Region III, MOSH may adjust the plan as circumstances change, use it to develop the annual performance plan, budget submissions, report on progress in annual performance reports and hold supervisors and staff accountable for achieving the goals and outcomes.</w:t>
      </w:r>
    </w:p>
    <w:p w:rsidR="000556F2" w:rsidRDefault="000556F2" w:rsidP="000556F2">
      <w:pPr>
        <w:widowControl w:val="0"/>
        <w:rPr>
          <w:rFonts w:ascii="Verdana" w:eastAsia="Verdana" w:hAnsi="Verdana" w:cs="Verdana"/>
          <w:color w:val="3366CC"/>
          <w:sz w:val="19"/>
          <w:szCs w:val="19"/>
        </w:rPr>
      </w:pPr>
    </w:p>
    <w:p w:rsidR="000556F2" w:rsidRDefault="000556F2" w:rsidP="000556F2">
      <w:pPr>
        <w:widowControl w:val="0"/>
        <w:rPr>
          <w:color w:val="3366CC"/>
        </w:rPr>
      </w:pPr>
      <w:r>
        <w:rPr>
          <w:rFonts w:ascii="Verdana" w:eastAsia="Verdana" w:hAnsi="Verdana" w:cs="Verdana"/>
          <w:color w:val="3366CC"/>
          <w:sz w:val="19"/>
          <w:szCs w:val="19"/>
        </w:rPr>
        <w:t>Consistent with the OSHA Strategic Management Plan, the MOSH program focuses on serious hazards and dangerous workplaces. The plan includes strategies that emphasize:</w:t>
      </w:r>
      <w:r>
        <w:rPr>
          <w:color w:val="3366CC"/>
        </w:rPr>
        <w:t xml:space="preserve"> </w:t>
      </w:r>
    </w:p>
    <w:p w:rsidR="000556F2" w:rsidRDefault="000556F2" w:rsidP="000556F2">
      <w:pPr>
        <w:widowControl w:val="0"/>
        <w:numPr>
          <w:ilvl w:val="0"/>
          <w:numId w:val="3"/>
        </w:numPr>
        <w:spacing w:before="280"/>
        <w:rPr>
          <w:color w:val="3366CC"/>
        </w:rPr>
      </w:pPr>
      <w:r>
        <w:rPr>
          <w:rFonts w:ascii="Verdana" w:eastAsia="Verdana" w:hAnsi="Verdana" w:cs="Verdana"/>
          <w:color w:val="3366CC"/>
          <w:sz w:val="19"/>
          <w:szCs w:val="19"/>
        </w:rPr>
        <w:t xml:space="preserve">Exercising strong, fair and effective enforcement; </w:t>
      </w:r>
    </w:p>
    <w:p w:rsidR="000556F2" w:rsidRDefault="000556F2" w:rsidP="000556F2">
      <w:pPr>
        <w:widowControl w:val="0"/>
        <w:numPr>
          <w:ilvl w:val="0"/>
          <w:numId w:val="3"/>
        </w:numPr>
        <w:rPr>
          <w:color w:val="3366CC"/>
        </w:rPr>
      </w:pPr>
      <w:r>
        <w:rPr>
          <w:rFonts w:ascii="Verdana" w:eastAsia="Verdana" w:hAnsi="Verdana" w:cs="Verdana"/>
          <w:color w:val="3366CC"/>
          <w:sz w:val="19"/>
          <w:szCs w:val="19"/>
        </w:rPr>
        <w:t xml:space="preserve">Expanding partnerships and voluntary programs; and </w:t>
      </w:r>
    </w:p>
    <w:p w:rsidR="000556F2" w:rsidRDefault="000556F2" w:rsidP="000556F2">
      <w:pPr>
        <w:widowControl w:val="0"/>
        <w:numPr>
          <w:ilvl w:val="0"/>
          <w:numId w:val="3"/>
        </w:numPr>
        <w:spacing w:after="280"/>
        <w:rPr>
          <w:color w:val="3366CC"/>
        </w:rPr>
      </w:pPr>
      <w:r>
        <w:rPr>
          <w:rFonts w:ascii="Verdana" w:eastAsia="Verdana" w:hAnsi="Verdana" w:cs="Verdana"/>
          <w:color w:val="3366CC"/>
          <w:sz w:val="19"/>
          <w:szCs w:val="19"/>
        </w:rPr>
        <w:t xml:space="preserve">Expanding outreach, education and compliance assistance </w:t>
      </w:r>
    </w:p>
    <w:p w:rsidR="000556F2" w:rsidRDefault="000556F2" w:rsidP="000556F2">
      <w:pPr>
        <w:widowControl w:val="0"/>
        <w:rPr>
          <w:rFonts w:ascii="Verdana" w:eastAsia="Verdana" w:hAnsi="Verdana" w:cs="Verdana"/>
          <w:color w:val="3366CC"/>
          <w:sz w:val="19"/>
          <w:szCs w:val="19"/>
        </w:rPr>
      </w:pPr>
      <w:r>
        <w:rPr>
          <w:rFonts w:ascii="Verdana" w:eastAsia="Verdana" w:hAnsi="Verdana" w:cs="Verdana"/>
          <w:b/>
          <w:color w:val="3366CC"/>
          <w:sz w:val="19"/>
          <w:szCs w:val="19"/>
        </w:rPr>
        <w:t>MOSH MISSION</w:t>
      </w:r>
      <w:r>
        <w:rPr>
          <w:rFonts w:ascii="Verdana" w:eastAsia="Verdana" w:hAnsi="Verdana" w:cs="Verdana"/>
          <w:color w:val="3366CC"/>
          <w:sz w:val="19"/>
          <w:szCs w:val="19"/>
        </w:rPr>
        <w:br/>
      </w:r>
      <w:r>
        <w:rPr>
          <w:rFonts w:ascii="Verdana" w:eastAsia="Verdana" w:hAnsi="Verdana" w:cs="Verdana"/>
          <w:color w:val="3366CC"/>
          <w:sz w:val="19"/>
          <w:szCs w:val="19"/>
        </w:rPr>
        <w:br/>
        <w:t>MOSH's mission is to promote and assure workplace safety and health while reducing workplace fatalities, injuries and illnesses.</w:t>
      </w:r>
      <w:r>
        <w:rPr>
          <w:rFonts w:ascii="Verdana" w:eastAsia="Verdana" w:hAnsi="Verdana" w:cs="Verdana"/>
          <w:color w:val="3366CC"/>
          <w:sz w:val="19"/>
          <w:szCs w:val="19"/>
        </w:rPr>
        <w:br/>
      </w:r>
      <w:r>
        <w:rPr>
          <w:rFonts w:ascii="Verdana" w:eastAsia="Verdana" w:hAnsi="Verdana" w:cs="Verdana"/>
          <w:color w:val="3366CC"/>
          <w:sz w:val="19"/>
          <w:szCs w:val="19"/>
        </w:rPr>
        <w:br/>
        <w:t>MOSH achieves its mission through various means, including inspections, consultation services, compliance assistance, outreach, education, and cooperative programs.</w:t>
      </w:r>
    </w:p>
    <w:p w:rsidR="000556F2" w:rsidRDefault="000556F2" w:rsidP="000556F2">
      <w:pPr>
        <w:widowControl w:val="0"/>
        <w:rPr>
          <w:rFonts w:ascii="Verdana" w:eastAsia="Verdana" w:hAnsi="Verdana" w:cs="Verdana"/>
          <w:color w:val="3366CC"/>
          <w:sz w:val="19"/>
          <w:szCs w:val="19"/>
        </w:rPr>
      </w:pPr>
    </w:p>
    <w:p w:rsidR="000556F2" w:rsidRDefault="000556F2" w:rsidP="000556F2">
      <w:pPr>
        <w:widowControl w:val="0"/>
        <w:rPr>
          <w:rFonts w:ascii="Verdana" w:eastAsia="Verdana" w:hAnsi="Verdana" w:cs="Verdana"/>
          <w:color w:val="3366CC"/>
          <w:sz w:val="19"/>
          <w:szCs w:val="19"/>
        </w:rPr>
      </w:pPr>
      <w:r>
        <w:rPr>
          <w:rFonts w:ascii="Verdana" w:eastAsia="Verdana" w:hAnsi="Verdana" w:cs="Verdana"/>
          <w:color w:val="3366CC"/>
          <w:sz w:val="19"/>
          <w:szCs w:val="19"/>
        </w:rPr>
        <w:t>By accomplishing our mission, MOSH saves lives, enhances the quality of life of working men and women, and contributes to the economic vitality of the State.</w:t>
      </w:r>
      <w:r>
        <w:rPr>
          <w:rFonts w:ascii="Verdana" w:eastAsia="Verdana" w:hAnsi="Verdana" w:cs="Verdana"/>
          <w:color w:val="3366CC"/>
          <w:sz w:val="19"/>
          <w:szCs w:val="19"/>
        </w:rPr>
        <w:br/>
      </w:r>
      <w:r>
        <w:rPr>
          <w:rFonts w:ascii="Verdana" w:eastAsia="Verdana" w:hAnsi="Verdana" w:cs="Verdana"/>
          <w:color w:val="3366CC"/>
          <w:sz w:val="19"/>
          <w:szCs w:val="19"/>
        </w:rPr>
        <w:br/>
      </w:r>
      <w:r>
        <w:rPr>
          <w:rFonts w:ascii="Verdana" w:eastAsia="Verdana" w:hAnsi="Verdana" w:cs="Verdana"/>
          <w:b/>
          <w:color w:val="3366CC"/>
          <w:sz w:val="19"/>
          <w:szCs w:val="19"/>
        </w:rPr>
        <w:t>VISION FOR 2023 THROUGH 2027</w:t>
      </w:r>
      <w:r>
        <w:rPr>
          <w:rFonts w:ascii="Verdana" w:eastAsia="Verdana" w:hAnsi="Verdana" w:cs="Verdana"/>
          <w:color w:val="3366CC"/>
          <w:sz w:val="19"/>
          <w:szCs w:val="19"/>
        </w:rPr>
        <w:br/>
        <w:t xml:space="preserve">The MOSH plan in its entirety conveys our vision for the next several years; </w:t>
      </w:r>
      <w:proofErr w:type="gramStart"/>
      <w:r>
        <w:rPr>
          <w:rFonts w:ascii="Verdana" w:eastAsia="Verdana" w:hAnsi="Verdana" w:cs="Verdana"/>
          <w:color w:val="3366CC"/>
          <w:sz w:val="19"/>
          <w:szCs w:val="19"/>
        </w:rPr>
        <w:t>however</w:t>
      </w:r>
      <w:proofErr w:type="gramEnd"/>
      <w:r>
        <w:rPr>
          <w:rFonts w:ascii="Verdana" w:eastAsia="Verdana" w:hAnsi="Verdana" w:cs="Verdana"/>
          <w:color w:val="3366CC"/>
          <w:sz w:val="19"/>
          <w:szCs w:val="19"/>
        </w:rPr>
        <w:t xml:space="preserve"> the following vision is included to summarize what MOSH expects to accomplish by implementing our Strategic Plan.</w:t>
      </w:r>
    </w:p>
    <w:p w:rsidR="000556F2" w:rsidRDefault="000556F2" w:rsidP="000556F2">
      <w:pPr>
        <w:widowControl w:val="0"/>
        <w:rPr>
          <w:rFonts w:ascii="Verdana" w:eastAsia="Verdana" w:hAnsi="Verdana" w:cs="Verdana"/>
          <w:color w:val="3366CC"/>
          <w:sz w:val="19"/>
          <w:szCs w:val="19"/>
        </w:rPr>
      </w:pPr>
    </w:p>
    <w:p w:rsidR="000556F2" w:rsidRDefault="000556F2" w:rsidP="000556F2">
      <w:pPr>
        <w:widowControl w:val="0"/>
        <w:rPr>
          <w:rFonts w:ascii="Verdana" w:eastAsia="Verdana" w:hAnsi="Verdana" w:cs="Verdana"/>
          <w:color w:val="3366CC"/>
          <w:sz w:val="19"/>
          <w:szCs w:val="19"/>
        </w:rPr>
      </w:pPr>
      <w:r>
        <w:rPr>
          <w:rFonts w:ascii="Verdana" w:eastAsia="Verdana" w:hAnsi="Verdana" w:cs="Verdana"/>
          <w:b/>
          <w:color w:val="3366CC"/>
          <w:sz w:val="19"/>
          <w:szCs w:val="19"/>
          <w:highlight w:val="white"/>
        </w:rPr>
        <w:t>Provide excellent customer service through the effective performance of Division of Labor and Industry personnel.</w:t>
      </w:r>
    </w:p>
    <w:p w:rsidR="000556F2" w:rsidRPr="00241BD0" w:rsidRDefault="000556F2" w:rsidP="000556F2">
      <w:pPr>
        <w:widowControl w:val="0"/>
        <w:shd w:val="clear" w:color="auto" w:fill="FFFFFF"/>
        <w:spacing w:before="100" w:after="100"/>
        <w:rPr>
          <w:rFonts w:ascii="Verdana" w:eastAsia="Verdana" w:hAnsi="Verdana" w:cs="Verdana"/>
          <w:color w:val="3366CC"/>
          <w:sz w:val="19"/>
          <w:szCs w:val="19"/>
        </w:rPr>
      </w:pPr>
      <w:r w:rsidRPr="00241BD0">
        <w:rPr>
          <w:rFonts w:ascii="Verdana" w:eastAsia="Verdana" w:hAnsi="Verdana" w:cs="Verdana"/>
          <w:color w:val="3366CC"/>
          <w:sz w:val="19"/>
          <w:szCs w:val="19"/>
        </w:rPr>
        <w:t>Providing excellent customer service through the effective performance of Division of Labor and Industry personnel supports Maryland’s long-term objective of being the best managed state in the nation.  MOSH employees consistently seek to provide services in the most efficient and courteous way possible, to stay ahead of trends, and to use creative and innovative approaches.</w:t>
      </w:r>
    </w:p>
    <w:p w:rsidR="000556F2" w:rsidRDefault="000556F2" w:rsidP="000556F2">
      <w:pPr>
        <w:widowControl w:val="0"/>
        <w:rPr>
          <w:rFonts w:ascii="Verdana" w:eastAsia="Verdana" w:hAnsi="Verdana" w:cs="Verdana"/>
          <w:color w:val="3366CC"/>
          <w:sz w:val="19"/>
          <w:szCs w:val="19"/>
        </w:rPr>
      </w:pPr>
    </w:p>
    <w:p w:rsidR="000556F2" w:rsidRDefault="000556F2" w:rsidP="000556F2">
      <w:pPr>
        <w:widowControl w:val="0"/>
        <w:spacing w:before="280" w:after="280"/>
        <w:ind w:left="720" w:right="720"/>
        <w:rPr>
          <w:rFonts w:ascii="Verdana" w:eastAsia="Verdana" w:hAnsi="Verdana" w:cs="Verdana"/>
          <w:color w:val="3366CC"/>
          <w:sz w:val="19"/>
          <w:szCs w:val="19"/>
        </w:rPr>
      </w:pPr>
      <w:r>
        <w:rPr>
          <w:rFonts w:ascii="Verdana" w:eastAsia="Verdana" w:hAnsi="Verdana" w:cs="Verdana"/>
          <w:b/>
          <w:i/>
          <w:color w:val="3366CC"/>
          <w:sz w:val="19"/>
          <w:szCs w:val="19"/>
        </w:rPr>
        <w:t>Every employer and employee in the State recognizes that occupational safety and health adds value to Maryland businesses, workplaces and workers' lives.</w:t>
      </w:r>
    </w:p>
    <w:p w:rsidR="000556F2" w:rsidRDefault="000556F2" w:rsidP="000556F2">
      <w:pPr>
        <w:widowControl w:val="0"/>
        <w:rPr>
          <w:color w:val="000000"/>
        </w:rPr>
      </w:pPr>
      <w:r>
        <w:br w:type="page"/>
      </w:r>
    </w:p>
    <w:tbl>
      <w:tblPr>
        <w:tblW w:w="930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0"/>
      </w:tblGrid>
      <w:tr w:rsidR="000556F2" w:rsidTr="00CA0306">
        <w:tc>
          <w:tcPr>
            <w:tcW w:w="9300" w:type="dxa"/>
            <w:shd w:val="clear" w:color="auto" w:fill="3366CC"/>
          </w:tcPr>
          <w:p w:rsidR="000556F2" w:rsidRDefault="000556F2" w:rsidP="00CA0306">
            <w:pPr>
              <w:rPr>
                <w:rFonts w:ascii="Arimo" w:eastAsia="Arimo" w:hAnsi="Arimo" w:cs="Arimo"/>
                <w:color w:val="3366CC"/>
              </w:rPr>
            </w:pPr>
            <w:r>
              <w:rPr>
                <w:rFonts w:ascii="Verdana" w:eastAsia="Verdana" w:hAnsi="Verdana" w:cs="Verdana"/>
                <w:b/>
                <w:color w:val="3366CC"/>
              </w:rPr>
              <w:lastRenderedPageBreak/>
              <w:t>SECTION 2 – STRATEGIC CONTEXT:</w:t>
            </w:r>
          </w:p>
        </w:tc>
      </w:tr>
    </w:tbl>
    <w:p w:rsidR="000556F2" w:rsidRDefault="000556F2" w:rsidP="000556F2">
      <w:pPr>
        <w:widowControl w:val="0"/>
        <w:spacing w:before="100" w:after="280"/>
        <w:rPr>
          <w:rFonts w:ascii="Verdana" w:eastAsia="Verdana" w:hAnsi="Verdana" w:cs="Verdana"/>
          <w:color w:val="3366CC"/>
          <w:sz w:val="19"/>
          <w:szCs w:val="19"/>
        </w:rPr>
      </w:pPr>
      <w:r>
        <w:rPr>
          <w:rFonts w:ascii="Verdana" w:eastAsia="Verdana" w:hAnsi="Verdana" w:cs="Verdana"/>
          <w:b/>
          <w:color w:val="3366CC"/>
          <w:sz w:val="19"/>
          <w:szCs w:val="19"/>
        </w:rPr>
        <w:t>INTRODUCTION</w:t>
      </w:r>
      <w:r>
        <w:rPr>
          <w:rFonts w:ascii="Verdana" w:eastAsia="Verdana" w:hAnsi="Verdana" w:cs="Verdana"/>
          <w:color w:val="3366CC"/>
          <w:sz w:val="19"/>
          <w:szCs w:val="19"/>
        </w:rPr>
        <w:br/>
      </w:r>
      <w:r>
        <w:rPr>
          <w:rFonts w:ascii="Verdana" w:eastAsia="Verdana" w:hAnsi="Verdana" w:cs="Verdana"/>
          <w:color w:val="3366CC"/>
          <w:sz w:val="19"/>
          <w:szCs w:val="19"/>
        </w:rPr>
        <w:br/>
        <w:t>With the high success of the past strategic plan, MOSH has developed new goals following along the same lines.  The statistics from the previous five years were assessed, and strategies were considered from OSHA’s Strategic Management Plan to develop our 2023-2027 Strategic Plan.</w:t>
      </w:r>
    </w:p>
    <w:p w:rsidR="000556F2" w:rsidRDefault="000556F2" w:rsidP="000556F2">
      <w:pPr>
        <w:widowControl w:val="0"/>
        <w:spacing w:after="240"/>
        <w:rPr>
          <w:rFonts w:ascii="Verdana" w:eastAsia="Verdana" w:hAnsi="Verdana" w:cs="Verdana"/>
          <w:color w:val="3366CC"/>
          <w:sz w:val="19"/>
          <w:szCs w:val="19"/>
        </w:rPr>
      </w:pPr>
      <w:r>
        <w:rPr>
          <w:rFonts w:ascii="Verdana" w:eastAsia="Verdana" w:hAnsi="Verdana" w:cs="Verdana"/>
          <w:b/>
          <w:color w:val="3366CC"/>
          <w:sz w:val="19"/>
          <w:szCs w:val="19"/>
        </w:rPr>
        <w:t>MOSH PROGRAMS</w:t>
      </w:r>
      <w:r>
        <w:rPr>
          <w:rFonts w:ascii="Verdana" w:eastAsia="Verdana" w:hAnsi="Verdana" w:cs="Verdana"/>
          <w:color w:val="3366CC"/>
          <w:sz w:val="19"/>
          <w:szCs w:val="19"/>
        </w:rPr>
        <w:br/>
      </w:r>
      <w:r>
        <w:rPr>
          <w:rFonts w:ascii="Verdana" w:eastAsia="Verdana" w:hAnsi="Verdana" w:cs="Verdana"/>
          <w:color w:val="3366CC"/>
          <w:sz w:val="19"/>
          <w:szCs w:val="19"/>
        </w:rPr>
        <w:br/>
        <w:t>MOSH has a workforce of 99 dedicated State employees. Its annual budget (FY22) was approximately $12,542,789.</w:t>
      </w:r>
      <w:r>
        <w:rPr>
          <w:rFonts w:ascii="Verdana" w:eastAsia="Verdana" w:hAnsi="Verdana" w:cs="Verdana"/>
          <w:b/>
          <w:color w:val="3366CC"/>
          <w:sz w:val="19"/>
          <w:szCs w:val="19"/>
        </w:rPr>
        <w:t xml:space="preserve"> </w:t>
      </w:r>
      <w:r>
        <w:rPr>
          <w:rFonts w:ascii="Verdana" w:eastAsia="Verdana" w:hAnsi="Verdana" w:cs="Verdana"/>
          <w:color w:val="3366CC"/>
          <w:sz w:val="19"/>
          <w:szCs w:val="19"/>
        </w:rPr>
        <w:t>MOSH operates its programs under State law with OSHA approval, matching grants, and oversight to ensure we operate programs that are "at least as effective" as OSHA. MOSH retains the flexibility to tailor our programs to address Maryland local issues and concerns.</w:t>
      </w:r>
    </w:p>
    <w:p w:rsidR="000556F2" w:rsidRDefault="000556F2" w:rsidP="000556F2">
      <w:pPr>
        <w:widowControl w:val="0"/>
        <w:spacing w:after="240"/>
        <w:rPr>
          <w:rFonts w:ascii="Verdana" w:eastAsia="Verdana" w:hAnsi="Verdana" w:cs="Verdana"/>
          <w:color w:val="3366CC"/>
          <w:sz w:val="19"/>
          <w:szCs w:val="19"/>
        </w:rPr>
      </w:pPr>
      <w:r>
        <w:rPr>
          <w:rFonts w:ascii="Verdana" w:eastAsia="Verdana" w:hAnsi="Verdana" w:cs="Verdana"/>
          <w:color w:val="3366CC"/>
          <w:sz w:val="19"/>
          <w:szCs w:val="19"/>
        </w:rPr>
        <w:t xml:space="preserve">MOSH has a very successful compliance assistance program, which includes partnerships and cooperative programs.  These programs will continue to be a large part of our new Strategic Plan as the Agency continues to increase outreach activities with minority and small business owners. </w:t>
      </w:r>
      <w:r>
        <w:rPr>
          <w:rFonts w:ascii="Verdana" w:eastAsia="Verdana" w:hAnsi="Verdana" w:cs="Verdana"/>
          <w:color w:val="3366CC"/>
          <w:sz w:val="19"/>
          <w:szCs w:val="19"/>
        </w:rPr>
        <w:br/>
      </w:r>
      <w:r>
        <w:rPr>
          <w:rFonts w:ascii="Verdana" w:eastAsia="Verdana" w:hAnsi="Verdana" w:cs="Verdana"/>
          <w:color w:val="3366CC"/>
          <w:sz w:val="19"/>
          <w:szCs w:val="19"/>
        </w:rPr>
        <w:br/>
        <w:t>Programs for ensuring and improving workplace safety and health in the private and public sectors are:</w:t>
      </w:r>
    </w:p>
    <w:p w:rsidR="000556F2" w:rsidRDefault="000556F2" w:rsidP="000556F2">
      <w:pPr>
        <w:widowControl w:val="0"/>
        <w:numPr>
          <w:ilvl w:val="0"/>
          <w:numId w:val="1"/>
        </w:numPr>
        <w:spacing w:after="240"/>
        <w:rPr>
          <w:color w:val="3366CC"/>
          <w:sz w:val="19"/>
          <w:szCs w:val="19"/>
        </w:rPr>
      </w:pPr>
      <w:r>
        <w:rPr>
          <w:rFonts w:ascii="Verdana" w:eastAsia="Verdana" w:hAnsi="Verdana" w:cs="Verdana"/>
          <w:b/>
          <w:color w:val="3366CC"/>
          <w:sz w:val="19"/>
          <w:szCs w:val="19"/>
        </w:rPr>
        <w:t xml:space="preserve">Enforcement - </w:t>
      </w:r>
      <w:r>
        <w:rPr>
          <w:rFonts w:ascii="Verdana" w:eastAsia="Verdana" w:hAnsi="Verdana" w:cs="Verdana"/>
          <w:color w:val="3366CC"/>
          <w:sz w:val="19"/>
          <w:szCs w:val="19"/>
        </w:rPr>
        <w:t>MOSH conducts a strong, fair, and effective enforcement program that includes inspecting worksites and issuing citations and penalties for violations of health and safety standards. Priorities for inspections include reports of imminent danger, fatalities, catastrophes, accidents, and employee complaints; investigation of whistleblower activities; referrals from other government agencies; and targeted areas of concern.</w:t>
      </w:r>
    </w:p>
    <w:p w:rsidR="000556F2" w:rsidRDefault="000556F2" w:rsidP="000556F2">
      <w:pPr>
        <w:widowControl w:val="0"/>
        <w:numPr>
          <w:ilvl w:val="0"/>
          <w:numId w:val="1"/>
        </w:numPr>
        <w:spacing w:after="240"/>
        <w:rPr>
          <w:color w:val="3366CC"/>
          <w:sz w:val="19"/>
          <w:szCs w:val="19"/>
        </w:rPr>
      </w:pPr>
      <w:r>
        <w:rPr>
          <w:rFonts w:ascii="Verdana" w:eastAsia="Verdana" w:hAnsi="Verdana" w:cs="Verdana"/>
          <w:b/>
          <w:color w:val="3366CC"/>
          <w:sz w:val="19"/>
          <w:szCs w:val="19"/>
        </w:rPr>
        <w:t xml:space="preserve">On-site Consultation Programs - </w:t>
      </w:r>
      <w:r>
        <w:rPr>
          <w:rFonts w:ascii="Verdana" w:eastAsia="Verdana" w:hAnsi="Verdana" w:cs="Verdana"/>
          <w:color w:val="3366CC"/>
          <w:sz w:val="19"/>
          <w:szCs w:val="19"/>
        </w:rPr>
        <w:t>MOSH offers a free consultation service, targeted at small businesses in high-hazard industries, that assists employers in identifying and correcting workplace hazards and establishing safety and health management systems.</w:t>
      </w:r>
    </w:p>
    <w:p w:rsidR="000556F2" w:rsidRDefault="000556F2" w:rsidP="000556F2">
      <w:pPr>
        <w:widowControl w:val="0"/>
        <w:numPr>
          <w:ilvl w:val="0"/>
          <w:numId w:val="1"/>
        </w:numPr>
        <w:spacing w:after="240"/>
        <w:rPr>
          <w:color w:val="3366CC"/>
          <w:sz w:val="19"/>
          <w:szCs w:val="19"/>
        </w:rPr>
      </w:pPr>
      <w:r>
        <w:rPr>
          <w:rFonts w:ascii="Verdana" w:eastAsia="Verdana" w:hAnsi="Verdana" w:cs="Verdana"/>
          <w:b/>
          <w:color w:val="3366CC"/>
          <w:sz w:val="19"/>
          <w:szCs w:val="19"/>
        </w:rPr>
        <w:t xml:space="preserve">Cooperative Programs/Compliance Assistance - </w:t>
      </w:r>
      <w:r>
        <w:rPr>
          <w:rFonts w:ascii="Verdana" w:eastAsia="Verdana" w:hAnsi="Verdana" w:cs="Verdana"/>
          <w:color w:val="3366CC"/>
          <w:sz w:val="19"/>
          <w:szCs w:val="19"/>
        </w:rPr>
        <w:t>MOSH enters into voluntary partnerships (Voluntary Protection Programs, Safety &amp; Health Achievement Recognition Programs, and Cooperative Compliance Partnerships) with employers to encourage, assist, and recognize their efforts to increase worker safety and health. These programs promote effective safety and health management and leverage the agency's resources to share best practices with secondary and tertiary contractors.</w:t>
      </w:r>
    </w:p>
    <w:p w:rsidR="000556F2" w:rsidRDefault="000556F2" w:rsidP="000556F2">
      <w:pPr>
        <w:widowControl w:val="0"/>
        <w:numPr>
          <w:ilvl w:val="0"/>
          <w:numId w:val="1"/>
        </w:numPr>
        <w:spacing w:after="240"/>
        <w:rPr>
          <w:color w:val="3366CC"/>
        </w:rPr>
      </w:pPr>
      <w:r>
        <w:rPr>
          <w:rFonts w:ascii="Verdana" w:eastAsia="Verdana" w:hAnsi="Verdana" w:cs="Verdana"/>
          <w:b/>
          <w:color w:val="3366CC"/>
          <w:sz w:val="19"/>
          <w:szCs w:val="19"/>
        </w:rPr>
        <w:t xml:space="preserve">Outreach, Training, and Education - </w:t>
      </w:r>
      <w:r>
        <w:rPr>
          <w:rFonts w:ascii="Verdana" w:eastAsia="Verdana" w:hAnsi="Verdana" w:cs="Verdana"/>
          <w:color w:val="3366CC"/>
          <w:sz w:val="19"/>
          <w:szCs w:val="19"/>
        </w:rPr>
        <w:t xml:space="preserve">MOSH develops and provides a broad array of outreach products and services, education and training materials and courses that promote occupational safety and health. </w:t>
      </w:r>
    </w:p>
    <w:p w:rsidR="000556F2" w:rsidRDefault="000556F2" w:rsidP="000556F2">
      <w:pPr>
        <w:widowControl w:val="0"/>
        <w:numPr>
          <w:ilvl w:val="0"/>
          <w:numId w:val="1"/>
        </w:numPr>
        <w:spacing w:after="240"/>
        <w:rPr>
          <w:color w:val="3366CC"/>
          <w:sz w:val="19"/>
          <w:szCs w:val="19"/>
        </w:rPr>
      </w:pPr>
      <w:r>
        <w:rPr>
          <w:rFonts w:ascii="Verdana" w:eastAsia="Verdana" w:hAnsi="Verdana" w:cs="Verdana"/>
          <w:b/>
          <w:color w:val="3366CC"/>
          <w:sz w:val="19"/>
          <w:szCs w:val="19"/>
        </w:rPr>
        <w:t>Research and Statistics Unit –</w:t>
      </w:r>
      <w:r>
        <w:rPr>
          <w:color w:val="3366CC"/>
        </w:rPr>
        <w:t xml:space="preserve"> </w:t>
      </w:r>
      <w:r>
        <w:rPr>
          <w:rFonts w:ascii="Verdana" w:eastAsia="Verdana" w:hAnsi="Verdana" w:cs="Verdana"/>
          <w:color w:val="3366CC"/>
          <w:sz w:val="19"/>
          <w:szCs w:val="19"/>
        </w:rPr>
        <w:t>is responsible for developing and implementing programs that generate statistical data on fatal and nonfatal workplace injuries and illnesses.  MOSH uses injury and illness statistics to identify high hazard industries.  The agency also uses occupational injury and illness data for measuring the effectiveness of its programmed activities.  The business community, government agencies, and researchers in the safety and health field all make use of the data collected and compiled by the Research and Statistics unit.</w:t>
      </w:r>
    </w:p>
    <w:p w:rsidR="000556F2" w:rsidRDefault="000556F2" w:rsidP="000556F2">
      <w:pPr>
        <w:widowControl w:val="0"/>
        <w:numPr>
          <w:ilvl w:val="0"/>
          <w:numId w:val="1"/>
        </w:numPr>
        <w:spacing w:after="240"/>
        <w:rPr>
          <w:rFonts w:ascii="Verdana" w:eastAsia="Verdana" w:hAnsi="Verdana" w:cs="Verdana"/>
          <w:b/>
          <w:color w:val="3366CC"/>
          <w:sz w:val="19"/>
          <w:szCs w:val="19"/>
        </w:rPr>
      </w:pPr>
      <w:r>
        <w:rPr>
          <w:rFonts w:ascii="Verdana" w:eastAsia="Verdana" w:hAnsi="Verdana" w:cs="Verdana"/>
          <w:b/>
          <w:color w:val="3366CC"/>
          <w:sz w:val="19"/>
          <w:szCs w:val="19"/>
        </w:rPr>
        <w:t>Discrimination –</w:t>
      </w:r>
      <w:r>
        <w:rPr>
          <w:color w:val="3366CC"/>
        </w:rPr>
        <w:t xml:space="preserve"> </w:t>
      </w:r>
      <w:r>
        <w:rPr>
          <w:rFonts w:ascii="Verdana" w:eastAsia="Verdana" w:hAnsi="Verdana" w:cs="Verdana"/>
          <w:color w:val="3366CC"/>
          <w:sz w:val="19"/>
          <w:szCs w:val="19"/>
        </w:rPr>
        <w:t>MOSH investigates workplace allegations of discrimination concerning employee safety and health</w:t>
      </w:r>
      <w:r>
        <w:rPr>
          <w:color w:val="3366CC"/>
        </w:rPr>
        <w:t xml:space="preserve">.   </w:t>
      </w:r>
      <w:r>
        <w:br w:type="page"/>
      </w:r>
    </w:p>
    <w:p w:rsidR="000556F2" w:rsidRDefault="000556F2" w:rsidP="000556F2">
      <w:pPr>
        <w:widowControl w:val="0"/>
        <w:spacing w:after="240"/>
        <w:rPr>
          <w:rFonts w:ascii="Verdana" w:eastAsia="Verdana" w:hAnsi="Verdana" w:cs="Verdana"/>
          <w:color w:val="3366CC"/>
          <w:sz w:val="19"/>
          <w:szCs w:val="19"/>
        </w:rPr>
      </w:pPr>
      <w:r>
        <w:rPr>
          <w:rFonts w:ascii="Verdana" w:eastAsia="Verdana" w:hAnsi="Verdana" w:cs="Verdana"/>
          <w:b/>
          <w:color w:val="3366CC"/>
          <w:sz w:val="19"/>
          <w:szCs w:val="19"/>
        </w:rPr>
        <w:lastRenderedPageBreak/>
        <w:t>MOSH's STRATEGIC DIRECTION</w:t>
      </w:r>
      <w:r>
        <w:rPr>
          <w:rFonts w:ascii="Verdana" w:eastAsia="Verdana" w:hAnsi="Verdana" w:cs="Verdana"/>
          <w:color w:val="3366CC"/>
          <w:sz w:val="19"/>
          <w:szCs w:val="19"/>
        </w:rPr>
        <w:br/>
      </w:r>
      <w:r>
        <w:rPr>
          <w:rFonts w:ascii="Verdana" w:eastAsia="Verdana" w:hAnsi="Verdana" w:cs="Verdana"/>
          <w:color w:val="3366CC"/>
          <w:sz w:val="19"/>
          <w:szCs w:val="19"/>
        </w:rPr>
        <w:br/>
        <w:t xml:space="preserve">The MOSH program remains committed to protecting workers and providing information to employers who wish to become more knowledgeable on safety and health issues. MOSH will continue to have strong, fair and effective enforcement of safety and health regulations to ensure employers address safety and health issues. Consultation, education and cooperative/compliance assistance programs provide the support needed to help employers and workers achieve a safe and healthful work environment. These programs will be included and modified as necessary to improve MOSH's effectiveness and address emerging issues. </w:t>
      </w:r>
    </w:p>
    <w:p w:rsidR="000556F2" w:rsidRDefault="000556F2" w:rsidP="000556F2">
      <w:pPr>
        <w:widowControl w:val="0"/>
        <w:spacing w:after="240"/>
        <w:rPr>
          <w:rFonts w:ascii="Verdana" w:eastAsia="Verdana" w:hAnsi="Verdana" w:cs="Verdana"/>
          <w:color w:val="3366CC"/>
          <w:sz w:val="19"/>
          <w:szCs w:val="19"/>
        </w:rPr>
      </w:pPr>
    </w:p>
    <w:tbl>
      <w:tblPr>
        <w:tblW w:w="930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0"/>
      </w:tblGrid>
      <w:tr w:rsidR="000556F2" w:rsidTr="00CA0306">
        <w:tc>
          <w:tcPr>
            <w:tcW w:w="9300" w:type="dxa"/>
            <w:shd w:val="clear" w:color="auto" w:fill="3366CC"/>
          </w:tcPr>
          <w:p w:rsidR="000556F2" w:rsidRDefault="000556F2" w:rsidP="00CA0306">
            <w:pPr>
              <w:rPr>
                <w:rFonts w:ascii="Arimo" w:eastAsia="Arimo" w:hAnsi="Arimo" w:cs="Arimo"/>
                <w:color w:val="3366CC"/>
              </w:rPr>
            </w:pPr>
            <w:r>
              <w:rPr>
                <w:rFonts w:ascii="Verdana" w:eastAsia="Verdana" w:hAnsi="Verdana" w:cs="Verdana"/>
                <w:b/>
                <w:color w:val="3366CC"/>
              </w:rPr>
              <w:t>Section 3 – GOALS AND STRATEGIES:</w:t>
            </w:r>
          </w:p>
        </w:tc>
      </w:tr>
    </w:tbl>
    <w:p w:rsidR="000556F2" w:rsidRDefault="000556F2" w:rsidP="000556F2">
      <w:pPr>
        <w:widowControl w:val="0"/>
        <w:spacing w:before="100" w:after="280"/>
        <w:rPr>
          <w:rFonts w:ascii="Verdana" w:eastAsia="Verdana" w:hAnsi="Verdana" w:cs="Verdana"/>
          <w:color w:val="3366CC"/>
          <w:sz w:val="19"/>
          <w:szCs w:val="19"/>
        </w:rPr>
      </w:pPr>
    </w:p>
    <w:p w:rsidR="000556F2" w:rsidRDefault="000556F2" w:rsidP="000556F2">
      <w:pPr>
        <w:widowControl w:val="0"/>
        <w:spacing w:before="100" w:after="280"/>
        <w:rPr>
          <w:rFonts w:ascii="Verdana" w:eastAsia="Verdana" w:hAnsi="Verdana" w:cs="Verdana"/>
          <w:color w:val="3366CC"/>
          <w:sz w:val="19"/>
          <w:szCs w:val="19"/>
        </w:rPr>
      </w:pPr>
      <w:r>
        <w:rPr>
          <w:rFonts w:ascii="Verdana" w:eastAsia="Verdana" w:hAnsi="Verdana" w:cs="Verdana"/>
          <w:color w:val="3366CC"/>
          <w:sz w:val="19"/>
          <w:szCs w:val="19"/>
        </w:rPr>
        <w:t>MOSH’s new five-year Strategic Plan was developed using the same framework of its previous plan. In support of the OSHA plan, MOSH will continue with specific targets for the reduction of fatalities, injuries, and illnesses over the plan’s period. MOSH will also continue to track results in specific priority areas over the planning period. As in the previous strategic plan these areas of emphasis will be analyzed and revised each year based on the results of operations and emerging issues that demand attention.</w:t>
      </w:r>
    </w:p>
    <w:p w:rsidR="000556F2" w:rsidRDefault="000556F2" w:rsidP="000556F2">
      <w:pPr>
        <w:widowControl w:val="0"/>
        <w:spacing w:before="100" w:after="100"/>
        <w:rPr>
          <w:rFonts w:ascii="Verdana" w:eastAsia="Verdana" w:hAnsi="Verdana" w:cs="Verdana"/>
          <w:color w:val="3366CC"/>
          <w:sz w:val="19"/>
          <w:szCs w:val="19"/>
        </w:rPr>
      </w:pPr>
      <w:r>
        <w:rPr>
          <w:rFonts w:ascii="Verdana" w:eastAsia="Verdana" w:hAnsi="Verdana" w:cs="Verdana"/>
          <w:color w:val="3366CC"/>
          <w:sz w:val="19"/>
          <w:szCs w:val="19"/>
        </w:rPr>
        <w:t>MOSH has established three specific supporting goals to guide its efforts over the next several years. They are:</w:t>
      </w:r>
    </w:p>
    <w:p w:rsidR="000556F2" w:rsidRDefault="000556F2" w:rsidP="000556F2">
      <w:pPr>
        <w:widowControl w:val="0"/>
        <w:numPr>
          <w:ilvl w:val="0"/>
          <w:numId w:val="5"/>
        </w:numPr>
        <w:spacing w:before="280"/>
        <w:ind w:hanging="720"/>
        <w:rPr>
          <w:rFonts w:ascii="Verdana" w:eastAsia="Verdana" w:hAnsi="Verdana" w:cs="Verdana"/>
          <w:color w:val="3366CC"/>
          <w:sz w:val="19"/>
          <w:szCs w:val="19"/>
        </w:rPr>
      </w:pPr>
      <w:r>
        <w:rPr>
          <w:rFonts w:ascii="Verdana" w:eastAsia="Verdana" w:hAnsi="Verdana" w:cs="Verdana"/>
          <w:color w:val="3366CC"/>
          <w:sz w:val="19"/>
          <w:szCs w:val="19"/>
        </w:rPr>
        <w:t>Improve workplace safety and health through compliance assistance and enforcement of occupational safety and health regulations;</w:t>
      </w:r>
    </w:p>
    <w:p w:rsidR="000556F2" w:rsidRDefault="000556F2" w:rsidP="000556F2">
      <w:pPr>
        <w:widowControl w:val="0"/>
        <w:numPr>
          <w:ilvl w:val="0"/>
          <w:numId w:val="5"/>
        </w:numPr>
        <w:ind w:hanging="720"/>
        <w:rPr>
          <w:rFonts w:ascii="Verdana" w:eastAsia="Verdana" w:hAnsi="Verdana" w:cs="Verdana"/>
          <w:color w:val="3366CC"/>
          <w:sz w:val="19"/>
          <w:szCs w:val="19"/>
        </w:rPr>
      </w:pPr>
      <w:r>
        <w:rPr>
          <w:rFonts w:ascii="Verdana" w:eastAsia="Verdana" w:hAnsi="Verdana" w:cs="Verdana"/>
          <w:color w:val="3366CC"/>
          <w:sz w:val="19"/>
          <w:szCs w:val="19"/>
        </w:rPr>
        <w:t>Promote a safety and health culture through compliance assistance, cooperative programs and strong leadership; and</w:t>
      </w:r>
    </w:p>
    <w:p w:rsidR="000556F2" w:rsidRDefault="000556F2" w:rsidP="000556F2">
      <w:pPr>
        <w:widowControl w:val="0"/>
        <w:numPr>
          <w:ilvl w:val="0"/>
          <w:numId w:val="5"/>
        </w:numPr>
        <w:spacing w:after="280"/>
        <w:ind w:hanging="720"/>
        <w:rPr>
          <w:rFonts w:ascii="Verdana" w:eastAsia="Verdana" w:hAnsi="Verdana" w:cs="Verdana"/>
          <w:color w:val="3366CC"/>
          <w:sz w:val="19"/>
          <w:szCs w:val="19"/>
        </w:rPr>
      </w:pPr>
      <w:r>
        <w:rPr>
          <w:rFonts w:ascii="Verdana" w:eastAsia="Verdana" w:hAnsi="Verdana" w:cs="Verdana"/>
          <w:color w:val="3366CC"/>
          <w:sz w:val="19"/>
          <w:szCs w:val="19"/>
        </w:rPr>
        <w:t>Secure public confidence through excellence in the development and delivery of MOSH programs and services.</w:t>
      </w:r>
    </w:p>
    <w:p w:rsidR="000556F2" w:rsidRDefault="000556F2" w:rsidP="000556F2">
      <w:pPr>
        <w:widowControl w:val="0"/>
        <w:spacing w:after="280"/>
        <w:rPr>
          <w:rFonts w:ascii="Verdana" w:eastAsia="Verdana" w:hAnsi="Verdana" w:cs="Verdana"/>
          <w:color w:val="3366CC"/>
          <w:sz w:val="19"/>
          <w:szCs w:val="19"/>
        </w:rPr>
      </w:pPr>
      <w:r>
        <w:rPr>
          <w:rFonts w:ascii="Verdana" w:eastAsia="Verdana" w:hAnsi="Verdana" w:cs="Verdana"/>
          <w:color w:val="3366CC"/>
          <w:sz w:val="19"/>
          <w:szCs w:val="19"/>
        </w:rPr>
        <w:t>Our five-year Strategic Plan with Performance Goals and Outcomes is shown below.</w:t>
      </w:r>
    </w:p>
    <w:p w:rsidR="000556F2" w:rsidRDefault="000556F2" w:rsidP="000556F2">
      <w:pPr>
        <w:rPr>
          <w:rFonts w:ascii="Verdana" w:eastAsia="Verdana" w:hAnsi="Verdana" w:cs="Verdana"/>
          <w:b/>
          <w:color w:val="3366CC"/>
          <w:sz w:val="19"/>
          <w:szCs w:val="19"/>
        </w:rPr>
      </w:pPr>
      <w:r>
        <w:br w:type="page"/>
      </w:r>
    </w:p>
    <w:p w:rsidR="000556F2" w:rsidRDefault="000556F2" w:rsidP="000556F2">
      <w:pPr>
        <w:widowControl w:val="0"/>
        <w:jc w:val="center"/>
        <w:rPr>
          <w:rFonts w:ascii="Verdana" w:eastAsia="Verdana" w:hAnsi="Verdana" w:cs="Verdana"/>
          <w:b/>
          <w:color w:val="3366CC"/>
          <w:sz w:val="19"/>
          <w:szCs w:val="19"/>
        </w:rPr>
      </w:pPr>
      <w:r>
        <w:rPr>
          <w:rFonts w:ascii="Verdana" w:eastAsia="Verdana" w:hAnsi="Verdana" w:cs="Verdana"/>
          <w:b/>
          <w:color w:val="3366CC"/>
          <w:sz w:val="19"/>
          <w:szCs w:val="19"/>
        </w:rPr>
        <w:lastRenderedPageBreak/>
        <w:t>Strategic Plan 2023-2027</w:t>
      </w:r>
    </w:p>
    <w:p w:rsidR="000556F2" w:rsidRDefault="000556F2" w:rsidP="000556F2">
      <w:pPr>
        <w:widowControl w:val="0"/>
        <w:jc w:val="center"/>
        <w:rPr>
          <w:rFonts w:ascii="Verdana" w:eastAsia="Verdana" w:hAnsi="Verdana" w:cs="Verdana"/>
          <w:b/>
          <w:color w:val="3366CC"/>
          <w:sz w:val="19"/>
          <w:szCs w:val="19"/>
        </w:rPr>
      </w:pPr>
    </w:p>
    <w:tbl>
      <w:tblPr>
        <w:tblW w:w="9423" w:type="dxa"/>
        <w:tblInd w:w="-108" w:type="dxa"/>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Layout w:type="fixed"/>
        <w:tblLook w:val="0000" w:firstRow="0" w:lastRow="0" w:firstColumn="0" w:lastColumn="0" w:noHBand="0" w:noVBand="0"/>
      </w:tblPr>
      <w:tblGrid>
        <w:gridCol w:w="9423"/>
      </w:tblGrid>
      <w:tr w:rsidR="000556F2" w:rsidTr="00CA0306">
        <w:tc>
          <w:tcPr>
            <w:tcW w:w="9423" w:type="dxa"/>
            <w:shd w:val="clear" w:color="auto" w:fill="FFFFCC"/>
          </w:tcPr>
          <w:p w:rsidR="000556F2" w:rsidRDefault="000556F2" w:rsidP="00CA0306">
            <w:pPr>
              <w:rPr>
                <w:rFonts w:ascii="Verdana" w:eastAsia="Verdana" w:hAnsi="Verdana" w:cs="Verdana"/>
                <w:b/>
                <w:color w:val="3366CC"/>
                <w:sz w:val="22"/>
                <w:szCs w:val="22"/>
              </w:rPr>
            </w:pPr>
            <w:r>
              <w:rPr>
                <w:rFonts w:ascii="Verdana" w:eastAsia="Verdana" w:hAnsi="Verdana" w:cs="Verdana"/>
                <w:b/>
                <w:color w:val="3366CC"/>
                <w:sz w:val="22"/>
                <w:szCs w:val="22"/>
              </w:rPr>
              <w:t>Strategic Goal 1:</w:t>
            </w:r>
          </w:p>
        </w:tc>
      </w:tr>
      <w:tr w:rsidR="000556F2" w:rsidTr="00CA0306">
        <w:trPr>
          <w:trHeight w:val="440"/>
        </w:trPr>
        <w:tc>
          <w:tcPr>
            <w:tcW w:w="9423" w:type="dxa"/>
          </w:tcPr>
          <w:p w:rsidR="000556F2" w:rsidRDefault="000556F2" w:rsidP="00CA0306">
            <w:pPr>
              <w:spacing w:after="240"/>
              <w:rPr>
                <w:rFonts w:ascii="Verdana" w:eastAsia="Verdana" w:hAnsi="Verdana" w:cs="Verdana"/>
                <w:color w:val="3366CC"/>
                <w:sz w:val="19"/>
                <w:szCs w:val="19"/>
              </w:rPr>
            </w:pPr>
            <w:r>
              <w:rPr>
                <w:rFonts w:ascii="Verdana" w:eastAsia="Verdana" w:hAnsi="Verdana" w:cs="Verdana"/>
                <w:color w:val="3366CC"/>
                <w:sz w:val="19"/>
                <w:szCs w:val="19"/>
              </w:rPr>
              <w:t>Improve workplace safety and health through compliance assistance and enforcement of occupational safety and health regulations.</w:t>
            </w:r>
          </w:p>
        </w:tc>
      </w:tr>
    </w:tbl>
    <w:p w:rsidR="000556F2" w:rsidRDefault="000556F2" w:rsidP="000556F2">
      <w:pPr>
        <w:widowControl w:val="0"/>
        <w:rPr>
          <w:color w:val="3366CC"/>
        </w:rPr>
      </w:pPr>
    </w:p>
    <w:p w:rsidR="000556F2" w:rsidRDefault="000556F2" w:rsidP="000556F2">
      <w:pPr>
        <w:widowControl w:val="0"/>
        <w:spacing w:after="240"/>
        <w:rPr>
          <w:rFonts w:ascii="Verdana" w:eastAsia="Verdana" w:hAnsi="Verdana" w:cs="Verdana"/>
          <w:color w:val="3366CC"/>
          <w:sz w:val="19"/>
          <w:szCs w:val="19"/>
        </w:rPr>
      </w:pPr>
      <w:r>
        <w:rPr>
          <w:rFonts w:ascii="Verdana" w:eastAsia="Verdana" w:hAnsi="Verdana" w:cs="Verdana"/>
          <w:color w:val="3366CC"/>
          <w:sz w:val="19"/>
          <w:szCs w:val="19"/>
        </w:rPr>
        <w:t>MOSH will endeavor to achieve the improvement of workplace safety and health through the identification of high hazard industries and direct interventions in these targeted industries.</w:t>
      </w:r>
    </w:p>
    <w:tbl>
      <w:tblPr>
        <w:tblW w:w="9405" w:type="dxa"/>
        <w:tblInd w:w="-75" w:type="dxa"/>
        <w:tblBorders>
          <w:top w:val="single" w:sz="6" w:space="0" w:color="003399"/>
          <w:left w:val="single" w:sz="6" w:space="0" w:color="003399"/>
          <w:bottom w:val="single" w:sz="6" w:space="0" w:color="003399"/>
          <w:right w:val="single" w:sz="6" w:space="0" w:color="003399"/>
          <w:insideH w:val="nil"/>
          <w:insideV w:val="nil"/>
        </w:tblBorders>
        <w:tblLayout w:type="fixed"/>
        <w:tblLook w:val="0000" w:firstRow="0" w:lastRow="0" w:firstColumn="0" w:lastColumn="0" w:noHBand="0" w:noVBand="0"/>
      </w:tblPr>
      <w:tblGrid>
        <w:gridCol w:w="3310"/>
        <w:gridCol w:w="3680"/>
        <w:gridCol w:w="2415"/>
      </w:tblGrid>
      <w:tr w:rsidR="000556F2" w:rsidTr="00CA0306">
        <w:tc>
          <w:tcPr>
            <w:tcW w:w="3310" w:type="dxa"/>
            <w:tcBorders>
              <w:top w:val="single" w:sz="6" w:space="0" w:color="003399"/>
              <w:left w:val="single" w:sz="6" w:space="0" w:color="003399"/>
              <w:bottom w:val="single" w:sz="6" w:space="0" w:color="003399"/>
              <w:right w:val="single" w:sz="6" w:space="0" w:color="003399"/>
            </w:tcBorders>
            <w:shd w:val="clear" w:color="auto" w:fill="FFFFCC"/>
          </w:tcPr>
          <w:p w:rsidR="000556F2" w:rsidRDefault="000556F2" w:rsidP="00CA0306">
            <w:pPr>
              <w:jc w:val="center"/>
              <w:rPr>
                <w:rFonts w:ascii="Verdana" w:eastAsia="Verdana" w:hAnsi="Verdana" w:cs="Verdana"/>
                <w:color w:val="3366CC"/>
                <w:sz w:val="19"/>
                <w:szCs w:val="19"/>
              </w:rPr>
            </w:pPr>
            <w:r>
              <w:rPr>
                <w:rFonts w:ascii="Verdana" w:eastAsia="Verdana" w:hAnsi="Verdana" w:cs="Verdana"/>
                <w:b/>
                <w:color w:val="3366CC"/>
                <w:sz w:val="19"/>
                <w:szCs w:val="19"/>
              </w:rPr>
              <w:t>Performance Goals</w:t>
            </w:r>
          </w:p>
        </w:tc>
        <w:tc>
          <w:tcPr>
            <w:tcW w:w="3680" w:type="dxa"/>
            <w:tcBorders>
              <w:top w:val="single" w:sz="6" w:space="0" w:color="003399"/>
              <w:left w:val="single" w:sz="6" w:space="0" w:color="003399"/>
              <w:bottom w:val="single" w:sz="6" w:space="0" w:color="003399"/>
              <w:right w:val="single" w:sz="6" w:space="0" w:color="003399"/>
            </w:tcBorders>
            <w:shd w:val="clear" w:color="auto" w:fill="FFFFCC"/>
          </w:tcPr>
          <w:p w:rsidR="000556F2" w:rsidRDefault="000556F2" w:rsidP="00CA0306">
            <w:pPr>
              <w:jc w:val="center"/>
              <w:rPr>
                <w:rFonts w:ascii="Verdana" w:eastAsia="Verdana" w:hAnsi="Verdana" w:cs="Verdana"/>
                <w:b/>
                <w:color w:val="3366CC"/>
                <w:sz w:val="19"/>
                <w:szCs w:val="19"/>
              </w:rPr>
            </w:pPr>
            <w:r>
              <w:rPr>
                <w:rFonts w:ascii="Verdana" w:eastAsia="Verdana" w:hAnsi="Verdana" w:cs="Verdana"/>
                <w:b/>
                <w:color w:val="3366CC"/>
                <w:sz w:val="19"/>
                <w:szCs w:val="19"/>
              </w:rPr>
              <w:t>Baseline and Data Source</w:t>
            </w:r>
          </w:p>
        </w:tc>
        <w:tc>
          <w:tcPr>
            <w:tcW w:w="2415" w:type="dxa"/>
            <w:tcBorders>
              <w:top w:val="single" w:sz="6" w:space="0" w:color="003399"/>
              <w:left w:val="single" w:sz="6" w:space="0" w:color="003399"/>
              <w:bottom w:val="single" w:sz="6" w:space="0" w:color="003399"/>
              <w:right w:val="single" w:sz="6" w:space="0" w:color="003399"/>
            </w:tcBorders>
            <w:shd w:val="clear" w:color="auto" w:fill="FFFFCC"/>
          </w:tcPr>
          <w:p w:rsidR="000556F2" w:rsidRDefault="000556F2" w:rsidP="00CA0306">
            <w:pPr>
              <w:jc w:val="center"/>
              <w:rPr>
                <w:rFonts w:ascii="Verdana" w:eastAsia="Verdana" w:hAnsi="Verdana" w:cs="Verdana"/>
                <w:b/>
                <w:color w:val="3366CC"/>
                <w:sz w:val="19"/>
                <w:szCs w:val="19"/>
              </w:rPr>
            </w:pPr>
            <w:r>
              <w:rPr>
                <w:rFonts w:ascii="Verdana" w:eastAsia="Verdana" w:hAnsi="Verdana" w:cs="Verdana"/>
                <w:b/>
                <w:color w:val="3366CC"/>
                <w:sz w:val="19"/>
                <w:szCs w:val="19"/>
              </w:rPr>
              <w:t>2027 Target</w:t>
            </w:r>
          </w:p>
        </w:tc>
      </w:tr>
      <w:tr w:rsidR="000556F2" w:rsidTr="00CA0306">
        <w:tc>
          <w:tcPr>
            <w:tcW w:w="3310" w:type="dxa"/>
            <w:tcBorders>
              <w:top w:val="single" w:sz="6" w:space="0" w:color="003399"/>
              <w:left w:val="single" w:sz="6" w:space="0" w:color="003399"/>
              <w:bottom w:val="single" w:sz="6" w:space="0" w:color="003399"/>
              <w:right w:val="single" w:sz="6" w:space="0" w:color="003399"/>
            </w:tcBorders>
          </w:tcPr>
          <w:p w:rsidR="000556F2" w:rsidRDefault="000556F2" w:rsidP="000556F2">
            <w:pPr>
              <w:widowControl w:val="0"/>
              <w:numPr>
                <w:ilvl w:val="0"/>
                <w:numId w:val="4"/>
              </w:numPr>
              <w:rPr>
                <w:color w:val="3366CC"/>
              </w:rPr>
            </w:pPr>
            <w:r>
              <w:rPr>
                <w:rFonts w:ascii="Verdana" w:eastAsia="Verdana" w:hAnsi="Verdana" w:cs="Verdana"/>
                <w:color w:val="3366CC"/>
                <w:sz w:val="19"/>
                <w:szCs w:val="19"/>
              </w:rPr>
              <w:t xml:space="preserve">To reduce the number of workplace fatalities under MOSH’s jurisdiction. </w:t>
            </w:r>
          </w:p>
        </w:tc>
        <w:tc>
          <w:tcPr>
            <w:tcW w:w="3680" w:type="dxa"/>
            <w:tcBorders>
              <w:top w:val="single" w:sz="6" w:space="0" w:color="003399"/>
              <w:left w:val="single" w:sz="6" w:space="0" w:color="003399"/>
              <w:bottom w:val="single" w:sz="6" w:space="0" w:color="003399"/>
              <w:right w:val="single" w:sz="6" w:space="0" w:color="003399"/>
            </w:tcBorders>
            <w:vAlign w:val="center"/>
          </w:tcPr>
          <w:p w:rsidR="000556F2" w:rsidRDefault="000556F2" w:rsidP="00CA0306">
            <w:pPr>
              <w:rPr>
                <w:rFonts w:ascii="Verdana" w:eastAsia="Verdana" w:hAnsi="Verdana" w:cs="Verdana"/>
                <w:color w:val="3366CC"/>
                <w:sz w:val="19"/>
                <w:szCs w:val="19"/>
              </w:rPr>
            </w:pPr>
            <w:r>
              <w:rPr>
                <w:rFonts w:ascii="Verdana" w:eastAsia="Verdana" w:hAnsi="Verdana" w:cs="Verdana"/>
                <w:color w:val="3366CC"/>
                <w:sz w:val="19"/>
                <w:szCs w:val="19"/>
              </w:rPr>
              <w:t>Established baseline: a five-year fatality average from 2016 through 2020. (22.2) Fatality count is derived from MOSH Operations</w:t>
            </w:r>
          </w:p>
        </w:tc>
        <w:tc>
          <w:tcPr>
            <w:tcW w:w="2415" w:type="dxa"/>
            <w:tcBorders>
              <w:top w:val="single" w:sz="6" w:space="0" w:color="003399"/>
              <w:left w:val="single" w:sz="6" w:space="0" w:color="003399"/>
              <w:bottom w:val="single" w:sz="6" w:space="0" w:color="003399"/>
              <w:right w:val="single" w:sz="6" w:space="0" w:color="003399"/>
            </w:tcBorders>
            <w:vAlign w:val="center"/>
          </w:tcPr>
          <w:p w:rsidR="000556F2" w:rsidRDefault="000556F2" w:rsidP="00CA0306">
            <w:pPr>
              <w:rPr>
                <w:rFonts w:ascii="Verdana" w:eastAsia="Verdana" w:hAnsi="Verdana" w:cs="Verdana"/>
                <w:color w:val="3366CC"/>
                <w:sz w:val="19"/>
                <w:szCs w:val="19"/>
              </w:rPr>
            </w:pPr>
            <w:r>
              <w:rPr>
                <w:rFonts w:ascii="Verdana" w:eastAsia="Verdana" w:hAnsi="Verdana" w:cs="Verdana"/>
                <w:color w:val="3366CC"/>
                <w:sz w:val="19"/>
                <w:szCs w:val="19"/>
              </w:rPr>
              <w:t>Achieve a five-percent reduction in the number of workplace fatalities in the State by FFY 2027.</w:t>
            </w:r>
          </w:p>
        </w:tc>
      </w:tr>
      <w:tr w:rsidR="000556F2" w:rsidTr="00CA0306">
        <w:tc>
          <w:tcPr>
            <w:tcW w:w="3310" w:type="dxa"/>
            <w:tcBorders>
              <w:top w:val="single" w:sz="6" w:space="0" w:color="003399"/>
              <w:left w:val="single" w:sz="6" w:space="0" w:color="003399"/>
              <w:bottom w:val="single" w:sz="6" w:space="0" w:color="003399"/>
              <w:right w:val="single" w:sz="6" w:space="0" w:color="003399"/>
            </w:tcBorders>
          </w:tcPr>
          <w:p w:rsidR="000556F2" w:rsidRDefault="000556F2" w:rsidP="000556F2">
            <w:pPr>
              <w:widowControl w:val="0"/>
              <w:numPr>
                <w:ilvl w:val="0"/>
                <w:numId w:val="4"/>
              </w:numPr>
              <w:rPr>
                <w:rFonts w:ascii="Verdana" w:eastAsia="Verdana" w:hAnsi="Verdana" w:cs="Verdana"/>
                <w:color w:val="3366CC"/>
                <w:sz w:val="19"/>
                <w:szCs w:val="19"/>
              </w:rPr>
            </w:pPr>
            <w:r>
              <w:rPr>
                <w:rFonts w:ascii="Verdana" w:eastAsia="Verdana" w:hAnsi="Verdana" w:cs="Verdana"/>
                <w:color w:val="3366CC"/>
                <w:sz w:val="19"/>
                <w:szCs w:val="19"/>
              </w:rPr>
              <w:t>To reduce the rate of occupational injuries and illnesses in Maryland’s private sector.</w:t>
            </w:r>
          </w:p>
        </w:tc>
        <w:tc>
          <w:tcPr>
            <w:tcW w:w="3680" w:type="dxa"/>
            <w:tcBorders>
              <w:top w:val="single" w:sz="6" w:space="0" w:color="003399"/>
              <w:left w:val="single" w:sz="6" w:space="0" w:color="003399"/>
              <w:bottom w:val="single" w:sz="6" w:space="0" w:color="003399"/>
              <w:right w:val="single" w:sz="6" w:space="0" w:color="003399"/>
            </w:tcBorders>
            <w:vAlign w:val="center"/>
          </w:tcPr>
          <w:p w:rsidR="000556F2" w:rsidRDefault="000556F2" w:rsidP="00CA0306">
            <w:pPr>
              <w:rPr>
                <w:rFonts w:ascii="Verdana" w:eastAsia="Verdana" w:hAnsi="Verdana" w:cs="Verdana"/>
                <w:color w:val="3366CC"/>
                <w:sz w:val="19"/>
                <w:szCs w:val="19"/>
              </w:rPr>
            </w:pPr>
            <w:r>
              <w:rPr>
                <w:rFonts w:ascii="Verdana" w:eastAsia="Verdana" w:hAnsi="Verdana" w:cs="Verdana"/>
                <w:color w:val="3366CC"/>
                <w:sz w:val="19"/>
                <w:szCs w:val="19"/>
              </w:rPr>
              <w:t>Bureau of Labor Statistics - Survey of Occupational Injuries and Illnesses (SOII) data for Maryland’s top-line private sector total recordable case (TRC) incidence rate averaged over five years from 2016 through 2020 (2.6).</w:t>
            </w:r>
          </w:p>
        </w:tc>
        <w:tc>
          <w:tcPr>
            <w:tcW w:w="2415" w:type="dxa"/>
            <w:tcBorders>
              <w:top w:val="single" w:sz="6" w:space="0" w:color="003399"/>
              <w:left w:val="single" w:sz="6" w:space="0" w:color="003399"/>
              <w:bottom w:val="single" w:sz="6" w:space="0" w:color="003399"/>
              <w:right w:val="single" w:sz="6" w:space="0" w:color="003399"/>
            </w:tcBorders>
            <w:vAlign w:val="center"/>
          </w:tcPr>
          <w:p w:rsidR="000556F2" w:rsidRDefault="000556F2" w:rsidP="00CA0306">
            <w:pPr>
              <w:rPr>
                <w:rFonts w:ascii="Verdana" w:eastAsia="Verdana" w:hAnsi="Verdana" w:cs="Verdana"/>
                <w:color w:val="3366CC"/>
                <w:sz w:val="19"/>
                <w:szCs w:val="19"/>
              </w:rPr>
            </w:pPr>
            <w:r>
              <w:rPr>
                <w:rFonts w:ascii="Verdana" w:eastAsia="Verdana" w:hAnsi="Verdana" w:cs="Verdana"/>
                <w:color w:val="3366CC"/>
                <w:sz w:val="19"/>
                <w:szCs w:val="19"/>
              </w:rPr>
              <w:t>Achieve a five-percent reduction in the TRC incidence rate by FFY 2027.</w:t>
            </w:r>
          </w:p>
        </w:tc>
      </w:tr>
      <w:tr w:rsidR="000556F2" w:rsidTr="00CA0306">
        <w:tc>
          <w:tcPr>
            <w:tcW w:w="3310" w:type="dxa"/>
            <w:tcBorders>
              <w:top w:val="single" w:sz="6" w:space="0" w:color="003399"/>
              <w:left w:val="single" w:sz="6" w:space="0" w:color="003399"/>
              <w:bottom w:val="single" w:sz="6" w:space="0" w:color="003399"/>
              <w:right w:val="single" w:sz="6" w:space="0" w:color="003399"/>
            </w:tcBorders>
          </w:tcPr>
          <w:p w:rsidR="000556F2" w:rsidRDefault="000556F2" w:rsidP="000556F2">
            <w:pPr>
              <w:widowControl w:val="0"/>
              <w:numPr>
                <w:ilvl w:val="0"/>
                <w:numId w:val="4"/>
              </w:numPr>
              <w:rPr>
                <w:color w:val="3366CC"/>
              </w:rPr>
            </w:pPr>
            <w:r>
              <w:rPr>
                <w:rFonts w:ascii="Verdana" w:eastAsia="Verdana" w:hAnsi="Verdana" w:cs="Verdana"/>
                <w:color w:val="3366CC"/>
                <w:sz w:val="19"/>
                <w:szCs w:val="19"/>
              </w:rPr>
              <w:t>To reduce the rate of occupational injuries and illnesses in Maryland’s state and local government.</w:t>
            </w:r>
          </w:p>
        </w:tc>
        <w:tc>
          <w:tcPr>
            <w:tcW w:w="3680" w:type="dxa"/>
            <w:tcBorders>
              <w:top w:val="single" w:sz="6" w:space="0" w:color="003399"/>
              <w:left w:val="single" w:sz="6" w:space="0" w:color="003399"/>
              <w:bottom w:val="single" w:sz="6" w:space="0" w:color="003399"/>
              <w:right w:val="single" w:sz="6" w:space="0" w:color="003399"/>
            </w:tcBorders>
            <w:vAlign w:val="center"/>
          </w:tcPr>
          <w:p w:rsidR="000556F2" w:rsidRDefault="000556F2" w:rsidP="00CA0306">
            <w:pPr>
              <w:rPr>
                <w:rFonts w:ascii="Verdana" w:eastAsia="Verdana" w:hAnsi="Verdana" w:cs="Verdana"/>
                <w:color w:val="3366CC"/>
                <w:sz w:val="19"/>
                <w:szCs w:val="19"/>
              </w:rPr>
            </w:pPr>
            <w:r>
              <w:rPr>
                <w:rFonts w:ascii="Verdana" w:eastAsia="Verdana" w:hAnsi="Verdana" w:cs="Verdana"/>
                <w:color w:val="3366CC"/>
                <w:sz w:val="19"/>
                <w:szCs w:val="19"/>
              </w:rPr>
              <w:t xml:space="preserve">Bureau of Labor Statistics </w:t>
            </w:r>
            <w:proofErr w:type="gramStart"/>
            <w:r>
              <w:rPr>
                <w:rFonts w:ascii="Verdana" w:eastAsia="Verdana" w:hAnsi="Verdana" w:cs="Verdana"/>
                <w:color w:val="3366CC"/>
                <w:sz w:val="19"/>
                <w:szCs w:val="19"/>
              </w:rPr>
              <w:t>‘ SOII</w:t>
            </w:r>
            <w:proofErr w:type="gramEnd"/>
            <w:r>
              <w:rPr>
                <w:rFonts w:ascii="Verdana" w:eastAsia="Verdana" w:hAnsi="Verdana" w:cs="Verdana"/>
                <w:color w:val="3366CC"/>
                <w:sz w:val="19"/>
                <w:szCs w:val="19"/>
              </w:rPr>
              <w:t xml:space="preserve"> data for Maryland’s top-line state and local government total recordable case (TRC) incidence rate averaged over five years from 2016 through 2020 (5.6).</w:t>
            </w:r>
          </w:p>
        </w:tc>
        <w:tc>
          <w:tcPr>
            <w:tcW w:w="2415" w:type="dxa"/>
            <w:tcBorders>
              <w:top w:val="single" w:sz="6" w:space="0" w:color="003399"/>
              <w:left w:val="single" w:sz="6" w:space="0" w:color="003399"/>
              <w:bottom w:val="single" w:sz="6" w:space="0" w:color="003399"/>
              <w:right w:val="single" w:sz="6" w:space="0" w:color="003399"/>
            </w:tcBorders>
            <w:vAlign w:val="center"/>
          </w:tcPr>
          <w:p w:rsidR="000556F2" w:rsidRDefault="000556F2" w:rsidP="00CA0306">
            <w:pPr>
              <w:rPr>
                <w:rFonts w:ascii="Verdana" w:eastAsia="Verdana" w:hAnsi="Verdana" w:cs="Verdana"/>
                <w:color w:val="3366CC"/>
                <w:sz w:val="19"/>
                <w:szCs w:val="19"/>
              </w:rPr>
            </w:pPr>
            <w:r>
              <w:rPr>
                <w:rFonts w:ascii="Verdana" w:eastAsia="Verdana" w:hAnsi="Verdana" w:cs="Verdana"/>
                <w:color w:val="3366CC"/>
                <w:sz w:val="19"/>
                <w:szCs w:val="19"/>
              </w:rPr>
              <w:t>Achieve a five-percent reduction in the TRC incidence rate by FFY 2027.</w:t>
            </w:r>
          </w:p>
        </w:tc>
      </w:tr>
    </w:tbl>
    <w:p w:rsidR="000556F2" w:rsidRDefault="000556F2" w:rsidP="000556F2">
      <w:pPr>
        <w:widowControl w:val="0"/>
        <w:jc w:val="center"/>
        <w:rPr>
          <w:rFonts w:ascii="Verdana" w:eastAsia="Verdana" w:hAnsi="Verdana" w:cs="Verdana"/>
          <w:b/>
          <w:color w:val="3366CC"/>
          <w:sz w:val="19"/>
          <w:szCs w:val="19"/>
        </w:rPr>
      </w:pPr>
    </w:p>
    <w:p w:rsidR="000556F2" w:rsidRDefault="000556F2" w:rsidP="000556F2">
      <w:pPr>
        <w:widowControl w:val="0"/>
        <w:jc w:val="center"/>
        <w:rPr>
          <w:rFonts w:ascii="Verdana" w:eastAsia="Verdana" w:hAnsi="Verdana" w:cs="Verdana"/>
          <w:b/>
          <w:color w:val="3366CC"/>
          <w:sz w:val="19"/>
          <w:szCs w:val="19"/>
        </w:rPr>
      </w:pPr>
    </w:p>
    <w:p w:rsidR="000556F2" w:rsidRDefault="000556F2" w:rsidP="000556F2">
      <w:pPr>
        <w:widowControl w:val="0"/>
        <w:rPr>
          <w:rFonts w:ascii="Verdana" w:eastAsia="Verdana" w:hAnsi="Verdana" w:cs="Verdana"/>
          <w:b/>
          <w:color w:val="3366CC"/>
          <w:sz w:val="19"/>
          <w:szCs w:val="19"/>
        </w:rPr>
      </w:pPr>
      <w:r>
        <w:rPr>
          <w:rFonts w:ascii="Verdana" w:eastAsia="Verdana" w:hAnsi="Verdana" w:cs="Verdana"/>
          <w:b/>
          <w:color w:val="3366CC"/>
          <w:sz w:val="19"/>
          <w:szCs w:val="19"/>
        </w:rPr>
        <w:t xml:space="preserve">Strategy 1-1: Achieve a fatality reduction of five-percent in industries that  </w:t>
      </w:r>
    </w:p>
    <w:p w:rsidR="000556F2" w:rsidRDefault="000556F2" w:rsidP="000556F2">
      <w:pPr>
        <w:widowControl w:val="0"/>
        <w:rPr>
          <w:rFonts w:ascii="Verdana" w:eastAsia="Verdana" w:hAnsi="Verdana" w:cs="Verdana"/>
          <w:b/>
          <w:color w:val="3366CC"/>
          <w:sz w:val="19"/>
          <w:szCs w:val="19"/>
        </w:rPr>
      </w:pPr>
      <w:r>
        <w:rPr>
          <w:rFonts w:ascii="Verdana" w:eastAsia="Verdana" w:hAnsi="Verdana" w:cs="Verdana"/>
          <w:b/>
          <w:color w:val="3366CC"/>
          <w:sz w:val="19"/>
          <w:szCs w:val="19"/>
        </w:rPr>
        <w:t>are under MOSH’s jurisdiction by 2027.</w:t>
      </w:r>
    </w:p>
    <w:p w:rsidR="000556F2" w:rsidRDefault="000556F2" w:rsidP="000556F2">
      <w:pPr>
        <w:widowControl w:val="0"/>
        <w:rPr>
          <w:rFonts w:ascii="Verdana" w:eastAsia="Verdana" w:hAnsi="Verdana" w:cs="Verdana"/>
          <w:b/>
          <w:color w:val="3366CC"/>
          <w:sz w:val="19"/>
          <w:szCs w:val="19"/>
          <w:highlight w:val="yellow"/>
        </w:rPr>
      </w:pPr>
    </w:p>
    <w:p w:rsidR="000556F2" w:rsidRDefault="000556F2" w:rsidP="000556F2">
      <w:pPr>
        <w:widowControl w:val="0"/>
        <w:rPr>
          <w:rFonts w:ascii="Verdana" w:eastAsia="Verdana" w:hAnsi="Verdana" w:cs="Verdana"/>
          <w:b/>
          <w:color w:val="3366CC"/>
          <w:sz w:val="19"/>
          <w:szCs w:val="19"/>
        </w:rPr>
      </w:pPr>
      <w:r>
        <w:rPr>
          <w:rFonts w:ascii="Verdana" w:eastAsia="Verdana" w:hAnsi="Verdana" w:cs="Verdana"/>
          <w:b/>
          <w:color w:val="3366CC"/>
          <w:sz w:val="19"/>
          <w:szCs w:val="19"/>
        </w:rPr>
        <w:t>Strategy 1-2: Reduce the top-line TRC rate for occupational injuries and illnesses by five-percent in Maryland’s private sector by 2027.</w:t>
      </w:r>
    </w:p>
    <w:p w:rsidR="000556F2" w:rsidRDefault="000556F2" w:rsidP="000556F2">
      <w:pPr>
        <w:widowControl w:val="0"/>
        <w:rPr>
          <w:rFonts w:ascii="Verdana" w:eastAsia="Verdana" w:hAnsi="Verdana" w:cs="Verdana"/>
          <w:b/>
          <w:color w:val="3366CC"/>
          <w:sz w:val="19"/>
          <w:szCs w:val="19"/>
          <w:highlight w:val="yellow"/>
        </w:rPr>
      </w:pPr>
    </w:p>
    <w:p w:rsidR="000556F2" w:rsidRPr="00241BD0" w:rsidRDefault="000556F2" w:rsidP="000556F2">
      <w:pPr>
        <w:widowControl w:val="0"/>
        <w:rPr>
          <w:rFonts w:ascii="Verdana" w:eastAsia="Verdana" w:hAnsi="Verdana" w:cs="Verdana"/>
          <w:color w:val="3366CC"/>
          <w:sz w:val="19"/>
          <w:szCs w:val="19"/>
        </w:rPr>
      </w:pPr>
      <w:r w:rsidRPr="00241BD0">
        <w:rPr>
          <w:rFonts w:ascii="Verdana" w:eastAsia="Verdana" w:hAnsi="Verdana" w:cs="Verdana"/>
          <w:b/>
          <w:color w:val="3366CC"/>
          <w:sz w:val="19"/>
          <w:szCs w:val="19"/>
        </w:rPr>
        <w:t xml:space="preserve">Strategy 1-3: Reduce the top-line TRC rate for occupational injuries and illnesses by </w:t>
      </w:r>
    </w:p>
    <w:p w:rsidR="000556F2" w:rsidRPr="00241BD0" w:rsidRDefault="000556F2" w:rsidP="000556F2">
      <w:pPr>
        <w:widowControl w:val="0"/>
        <w:rPr>
          <w:rFonts w:ascii="Verdana" w:eastAsia="Verdana" w:hAnsi="Verdana" w:cs="Verdana"/>
          <w:b/>
          <w:color w:val="3366CC"/>
          <w:sz w:val="19"/>
          <w:szCs w:val="19"/>
        </w:rPr>
      </w:pPr>
      <w:r w:rsidRPr="00241BD0">
        <w:rPr>
          <w:rFonts w:ascii="Verdana" w:eastAsia="Verdana" w:hAnsi="Verdana" w:cs="Verdana"/>
          <w:b/>
          <w:color w:val="3366CC"/>
          <w:sz w:val="19"/>
          <w:szCs w:val="19"/>
        </w:rPr>
        <w:t xml:space="preserve">five-percent in Maryland’s State and local government sector by 2027. Historically, Maryland’s top-line public sector TRC rate has been significantly higher than the State’s private sector average.  </w:t>
      </w:r>
      <w:r w:rsidRPr="00542B34">
        <w:rPr>
          <w:rFonts w:ascii="Verdana" w:eastAsia="Verdana" w:hAnsi="Verdana" w:cs="Verdana"/>
          <w:b/>
          <w:color w:val="3366CC"/>
          <w:sz w:val="19"/>
          <w:szCs w:val="19"/>
        </w:rPr>
        <w:t xml:space="preserve">In 2020, the public sector’s TRC rate was 3.6 injuries and illnesses per 100 full-time equivalent workers, while Maryland’s private sector’s rate was 2.5. It is not entirely clear why there was such a drastic difference between the single year public sector rate and the 5-year average, but it is generally assumed COVID-19 impacted the rates </w:t>
      </w:r>
      <w:r>
        <w:rPr>
          <w:rFonts w:ascii="Verdana" w:eastAsia="Verdana" w:hAnsi="Verdana" w:cs="Verdana"/>
          <w:b/>
          <w:color w:val="3366CC"/>
          <w:sz w:val="19"/>
          <w:szCs w:val="19"/>
        </w:rPr>
        <w:t>in a variety of ways</w:t>
      </w:r>
      <w:r w:rsidRPr="00542B34">
        <w:rPr>
          <w:rFonts w:ascii="Verdana" w:eastAsia="Verdana" w:hAnsi="Verdana" w:cs="Verdana"/>
          <w:b/>
          <w:color w:val="3366CC"/>
          <w:sz w:val="19"/>
          <w:szCs w:val="19"/>
        </w:rPr>
        <w:t>. This drastic decrease in rates may rise due to a return to the workplace, but a concerted effort to maintain these lowered rates is newly implemented in this strategic plan and measured in Strategic Goal 2.</w:t>
      </w:r>
    </w:p>
    <w:p w:rsidR="000556F2" w:rsidRDefault="000556F2" w:rsidP="000556F2">
      <w:pPr>
        <w:widowControl w:val="0"/>
        <w:rPr>
          <w:rFonts w:ascii="Verdana" w:eastAsia="Verdana" w:hAnsi="Verdana" w:cs="Verdana"/>
          <w:b/>
          <w:color w:val="3366CC"/>
          <w:sz w:val="19"/>
          <w:szCs w:val="19"/>
        </w:rPr>
      </w:pPr>
    </w:p>
    <w:p w:rsidR="000556F2" w:rsidRDefault="000556F2" w:rsidP="000556F2">
      <w:pPr>
        <w:rPr>
          <w:rFonts w:ascii="Verdana" w:eastAsia="Verdana" w:hAnsi="Verdana" w:cs="Verdana"/>
          <w:b/>
          <w:color w:val="3366CC"/>
          <w:sz w:val="19"/>
          <w:szCs w:val="19"/>
        </w:rPr>
      </w:pPr>
      <w:r>
        <w:br w:type="page"/>
      </w:r>
    </w:p>
    <w:p w:rsidR="000556F2" w:rsidRDefault="000556F2" w:rsidP="000556F2">
      <w:pPr>
        <w:widowControl w:val="0"/>
        <w:rPr>
          <w:rFonts w:ascii="Verdana" w:eastAsia="Verdana" w:hAnsi="Verdana" w:cs="Verdana"/>
          <w:b/>
          <w:color w:val="3366CC"/>
          <w:sz w:val="19"/>
          <w:szCs w:val="19"/>
        </w:rPr>
      </w:pPr>
    </w:p>
    <w:tbl>
      <w:tblPr>
        <w:tblW w:w="9423" w:type="dxa"/>
        <w:tblInd w:w="-108" w:type="dxa"/>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Layout w:type="fixed"/>
        <w:tblLook w:val="0000" w:firstRow="0" w:lastRow="0" w:firstColumn="0" w:lastColumn="0" w:noHBand="0" w:noVBand="0"/>
      </w:tblPr>
      <w:tblGrid>
        <w:gridCol w:w="9423"/>
      </w:tblGrid>
      <w:tr w:rsidR="000556F2" w:rsidTr="00CA0306">
        <w:tc>
          <w:tcPr>
            <w:tcW w:w="9423" w:type="dxa"/>
            <w:shd w:val="clear" w:color="auto" w:fill="FFFFCC"/>
          </w:tcPr>
          <w:p w:rsidR="000556F2" w:rsidRDefault="000556F2" w:rsidP="00CA0306">
            <w:pPr>
              <w:rPr>
                <w:rFonts w:ascii="Verdana" w:eastAsia="Verdana" w:hAnsi="Verdana" w:cs="Verdana"/>
                <w:b/>
                <w:color w:val="3366CC"/>
                <w:sz w:val="22"/>
                <w:szCs w:val="22"/>
              </w:rPr>
            </w:pPr>
            <w:r>
              <w:rPr>
                <w:rFonts w:ascii="Verdana" w:eastAsia="Verdana" w:hAnsi="Verdana" w:cs="Verdana"/>
                <w:b/>
                <w:color w:val="3366CC"/>
                <w:sz w:val="22"/>
                <w:szCs w:val="22"/>
              </w:rPr>
              <w:t>Strategic Goal 2:</w:t>
            </w:r>
          </w:p>
        </w:tc>
      </w:tr>
      <w:tr w:rsidR="000556F2" w:rsidTr="00CA0306">
        <w:trPr>
          <w:trHeight w:val="618"/>
        </w:trPr>
        <w:tc>
          <w:tcPr>
            <w:tcW w:w="9423" w:type="dxa"/>
            <w:vAlign w:val="center"/>
          </w:tcPr>
          <w:p w:rsidR="000556F2" w:rsidRDefault="000556F2" w:rsidP="00CA0306">
            <w:pPr>
              <w:spacing w:after="240"/>
              <w:rPr>
                <w:rFonts w:ascii="Verdana" w:eastAsia="Verdana" w:hAnsi="Verdana" w:cs="Verdana"/>
                <w:color w:val="3366CC"/>
                <w:sz w:val="19"/>
                <w:szCs w:val="19"/>
              </w:rPr>
            </w:pPr>
            <w:r>
              <w:rPr>
                <w:rFonts w:ascii="Verdana" w:eastAsia="Verdana" w:hAnsi="Verdana" w:cs="Verdana"/>
                <w:color w:val="3366CC"/>
                <w:sz w:val="19"/>
                <w:szCs w:val="19"/>
              </w:rPr>
              <w:t xml:space="preserve">Promote a safety and health culture through Cooperative Programs, Compliance </w:t>
            </w:r>
            <w:proofErr w:type="gramStart"/>
            <w:r>
              <w:rPr>
                <w:rFonts w:ascii="Verdana" w:eastAsia="Verdana" w:hAnsi="Verdana" w:cs="Verdana"/>
                <w:color w:val="3366CC"/>
                <w:sz w:val="19"/>
                <w:szCs w:val="19"/>
              </w:rPr>
              <w:t>Assistance</w:t>
            </w:r>
            <w:r>
              <w:rPr>
                <w:rFonts w:ascii="Verdana" w:eastAsia="Verdana" w:hAnsi="Verdana" w:cs="Verdana"/>
                <w:b/>
                <w:color w:val="3366CC"/>
                <w:sz w:val="19"/>
                <w:szCs w:val="19"/>
              </w:rPr>
              <w:t xml:space="preserve">, </w:t>
            </w:r>
            <w:r>
              <w:rPr>
                <w:rFonts w:ascii="Verdana" w:eastAsia="Verdana" w:hAnsi="Verdana" w:cs="Verdana"/>
                <w:color w:val="3366CC"/>
                <w:sz w:val="19"/>
                <w:szCs w:val="19"/>
              </w:rPr>
              <w:t xml:space="preserve"> On</w:t>
            </w:r>
            <w:proofErr w:type="gramEnd"/>
            <w:r>
              <w:rPr>
                <w:rFonts w:ascii="Verdana" w:eastAsia="Verdana" w:hAnsi="Verdana" w:cs="Verdana"/>
                <w:color w:val="3366CC"/>
                <w:sz w:val="19"/>
                <w:szCs w:val="19"/>
              </w:rPr>
              <w:t xml:space="preserve">-site Consultation Programs, Outreach, and Training and Education. </w:t>
            </w:r>
          </w:p>
        </w:tc>
      </w:tr>
    </w:tbl>
    <w:p w:rsidR="000556F2" w:rsidRDefault="000556F2" w:rsidP="000556F2">
      <w:pPr>
        <w:widowControl w:val="0"/>
        <w:spacing w:after="240"/>
        <w:rPr>
          <w:color w:val="3366CC"/>
        </w:rPr>
      </w:pPr>
      <w:r>
        <w:rPr>
          <w:color w:val="3366CC"/>
        </w:rPr>
        <w:br/>
      </w:r>
      <w:r>
        <w:rPr>
          <w:rFonts w:ascii="Verdana" w:eastAsia="Verdana" w:hAnsi="Verdana" w:cs="Verdana"/>
          <w:color w:val="3366CC"/>
          <w:sz w:val="19"/>
          <w:szCs w:val="19"/>
        </w:rPr>
        <w:t>A critical element in obtaining a safe and healthful workplace is having employers and employees who are trained and knowledgeable in workplace hazards.  While compliance enforcement will always be necessary to achieve a safe and healthful workplace for employees, free consultation, outreach and training activities, and cooperative compliance programs work with those employers and their employees who have embraced a safety and health culture in their workplace. Through these programs, MOSH has the ability to multiply its effectiveness by instilling and increasing safety and health values across a broad spectrum of the population. Achieving this goal will require a concerted effort, compliance assistance skills, innovation and continued dedication to safety and health ideals.</w:t>
      </w:r>
      <w:r>
        <w:rPr>
          <w:color w:val="3366CC"/>
        </w:rPr>
        <w:t xml:space="preserve"> </w:t>
      </w:r>
    </w:p>
    <w:tbl>
      <w:tblPr>
        <w:tblW w:w="9635" w:type="dxa"/>
        <w:tblInd w:w="-75" w:type="dxa"/>
        <w:tblBorders>
          <w:top w:val="single" w:sz="6" w:space="0" w:color="003399"/>
          <w:left w:val="single" w:sz="6" w:space="0" w:color="003399"/>
          <w:bottom w:val="single" w:sz="6" w:space="0" w:color="003399"/>
          <w:right w:val="single" w:sz="6" w:space="0" w:color="003399"/>
          <w:insideH w:val="nil"/>
          <w:insideV w:val="nil"/>
        </w:tblBorders>
        <w:tblLayout w:type="fixed"/>
        <w:tblLook w:val="0000" w:firstRow="0" w:lastRow="0" w:firstColumn="0" w:lastColumn="0" w:noHBand="0" w:noVBand="0"/>
      </w:tblPr>
      <w:tblGrid>
        <w:gridCol w:w="4112"/>
        <w:gridCol w:w="1873"/>
        <w:gridCol w:w="975"/>
        <w:gridCol w:w="2675"/>
      </w:tblGrid>
      <w:tr w:rsidR="000556F2" w:rsidTr="00CA0306">
        <w:tc>
          <w:tcPr>
            <w:tcW w:w="4112" w:type="dxa"/>
            <w:tcBorders>
              <w:top w:val="single" w:sz="6" w:space="0" w:color="003399"/>
              <w:left w:val="single" w:sz="6" w:space="0" w:color="003399"/>
              <w:bottom w:val="single" w:sz="6" w:space="0" w:color="003399"/>
              <w:right w:val="single" w:sz="6" w:space="0" w:color="003399"/>
            </w:tcBorders>
            <w:shd w:val="clear" w:color="auto" w:fill="FFFFCC"/>
            <w:vAlign w:val="center"/>
          </w:tcPr>
          <w:p w:rsidR="000556F2" w:rsidRDefault="000556F2" w:rsidP="00CA0306">
            <w:pPr>
              <w:jc w:val="center"/>
              <w:rPr>
                <w:rFonts w:ascii="Verdana" w:eastAsia="Verdana" w:hAnsi="Verdana" w:cs="Verdana"/>
                <w:color w:val="3366CC"/>
                <w:sz w:val="19"/>
                <w:szCs w:val="19"/>
              </w:rPr>
            </w:pPr>
            <w:r>
              <w:rPr>
                <w:rFonts w:ascii="Verdana" w:eastAsia="Verdana" w:hAnsi="Verdana" w:cs="Verdana"/>
                <w:b/>
                <w:color w:val="3366CC"/>
                <w:sz w:val="19"/>
                <w:szCs w:val="19"/>
              </w:rPr>
              <w:t>Performance/Outcome Goals</w:t>
            </w:r>
          </w:p>
        </w:tc>
        <w:tc>
          <w:tcPr>
            <w:tcW w:w="1873" w:type="dxa"/>
            <w:tcBorders>
              <w:top w:val="single" w:sz="6" w:space="0" w:color="003399"/>
              <w:left w:val="single" w:sz="6" w:space="0" w:color="003399"/>
              <w:bottom w:val="single" w:sz="6" w:space="0" w:color="003399"/>
              <w:right w:val="single" w:sz="6" w:space="0" w:color="003399"/>
            </w:tcBorders>
            <w:shd w:val="clear" w:color="auto" w:fill="FFFFCC"/>
            <w:vAlign w:val="center"/>
          </w:tcPr>
          <w:p w:rsidR="000556F2" w:rsidRDefault="000556F2" w:rsidP="00CA0306">
            <w:pPr>
              <w:jc w:val="center"/>
              <w:rPr>
                <w:rFonts w:ascii="Verdana" w:eastAsia="Verdana" w:hAnsi="Verdana" w:cs="Verdana"/>
                <w:color w:val="3366CC"/>
                <w:sz w:val="19"/>
                <w:szCs w:val="19"/>
              </w:rPr>
            </w:pPr>
            <w:r>
              <w:rPr>
                <w:rFonts w:ascii="Verdana" w:eastAsia="Verdana" w:hAnsi="Verdana" w:cs="Verdana"/>
                <w:b/>
                <w:color w:val="3366CC"/>
                <w:sz w:val="19"/>
                <w:szCs w:val="19"/>
              </w:rPr>
              <w:t xml:space="preserve">Baseline </w:t>
            </w:r>
          </w:p>
          <w:p w:rsidR="000556F2" w:rsidRDefault="000556F2" w:rsidP="00CA0306">
            <w:pPr>
              <w:jc w:val="center"/>
              <w:rPr>
                <w:rFonts w:ascii="Verdana" w:eastAsia="Verdana" w:hAnsi="Verdana" w:cs="Verdana"/>
                <w:color w:val="3366CC"/>
                <w:sz w:val="19"/>
                <w:szCs w:val="19"/>
              </w:rPr>
            </w:pPr>
          </w:p>
        </w:tc>
        <w:tc>
          <w:tcPr>
            <w:tcW w:w="975" w:type="dxa"/>
            <w:tcBorders>
              <w:top w:val="single" w:sz="6" w:space="0" w:color="003399"/>
              <w:left w:val="single" w:sz="6" w:space="0" w:color="003399"/>
              <w:bottom w:val="single" w:sz="6" w:space="0" w:color="003399"/>
              <w:right w:val="single" w:sz="6" w:space="0" w:color="003399"/>
            </w:tcBorders>
            <w:shd w:val="clear" w:color="auto" w:fill="FFFFCC"/>
            <w:vAlign w:val="center"/>
          </w:tcPr>
          <w:p w:rsidR="000556F2" w:rsidRDefault="000556F2" w:rsidP="00CA0306">
            <w:pPr>
              <w:jc w:val="center"/>
              <w:rPr>
                <w:rFonts w:ascii="Verdana" w:eastAsia="Verdana" w:hAnsi="Verdana" w:cs="Verdana"/>
                <w:color w:val="3366CC"/>
                <w:sz w:val="19"/>
                <w:szCs w:val="19"/>
              </w:rPr>
            </w:pPr>
            <w:r>
              <w:rPr>
                <w:rFonts w:ascii="Verdana" w:eastAsia="Verdana" w:hAnsi="Verdana" w:cs="Verdana"/>
                <w:b/>
                <w:color w:val="3366CC"/>
                <w:sz w:val="19"/>
                <w:szCs w:val="19"/>
              </w:rPr>
              <w:t>Target Date</w:t>
            </w:r>
          </w:p>
        </w:tc>
        <w:tc>
          <w:tcPr>
            <w:tcW w:w="2675" w:type="dxa"/>
            <w:tcBorders>
              <w:top w:val="single" w:sz="6" w:space="0" w:color="003399"/>
              <w:left w:val="single" w:sz="6" w:space="0" w:color="003399"/>
              <w:bottom w:val="single" w:sz="6" w:space="0" w:color="003399"/>
              <w:right w:val="single" w:sz="6" w:space="0" w:color="003399"/>
            </w:tcBorders>
            <w:shd w:val="clear" w:color="auto" w:fill="FFFFCC"/>
            <w:vAlign w:val="center"/>
          </w:tcPr>
          <w:p w:rsidR="000556F2" w:rsidRDefault="000556F2" w:rsidP="00CA0306">
            <w:pPr>
              <w:jc w:val="center"/>
              <w:rPr>
                <w:rFonts w:ascii="Verdana" w:eastAsia="Verdana" w:hAnsi="Verdana" w:cs="Verdana"/>
                <w:color w:val="3366CC"/>
                <w:sz w:val="19"/>
                <w:szCs w:val="19"/>
              </w:rPr>
            </w:pPr>
            <w:r>
              <w:rPr>
                <w:rFonts w:ascii="Verdana" w:eastAsia="Verdana" w:hAnsi="Verdana" w:cs="Verdana"/>
                <w:b/>
                <w:color w:val="3366CC"/>
                <w:sz w:val="19"/>
                <w:szCs w:val="19"/>
              </w:rPr>
              <w:t>Target Amount</w:t>
            </w:r>
          </w:p>
        </w:tc>
      </w:tr>
      <w:tr w:rsidR="000556F2" w:rsidTr="00CA0306">
        <w:trPr>
          <w:trHeight w:val="1758"/>
        </w:trPr>
        <w:tc>
          <w:tcPr>
            <w:tcW w:w="4112" w:type="dxa"/>
            <w:tcBorders>
              <w:top w:val="single" w:sz="6" w:space="0" w:color="003399"/>
              <w:left w:val="single" w:sz="6" w:space="0" w:color="003399"/>
              <w:bottom w:val="single" w:sz="6" w:space="0" w:color="003399"/>
              <w:right w:val="single" w:sz="6" w:space="0" w:color="003399"/>
            </w:tcBorders>
          </w:tcPr>
          <w:p w:rsidR="000556F2" w:rsidRDefault="000556F2" w:rsidP="00CA0306">
            <w:pPr>
              <w:rPr>
                <w:rFonts w:ascii="Verdana" w:eastAsia="Verdana" w:hAnsi="Verdana" w:cs="Verdana"/>
                <w:color w:val="3366CC"/>
                <w:sz w:val="19"/>
                <w:szCs w:val="19"/>
              </w:rPr>
            </w:pPr>
          </w:p>
          <w:p w:rsidR="000556F2" w:rsidRDefault="000556F2" w:rsidP="00CA0306">
            <w:pPr>
              <w:rPr>
                <w:rFonts w:ascii="Verdana" w:eastAsia="Verdana" w:hAnsi="Verdana" w:cs="Verdana"/>
                <w:color w:val="3366CC"/>
                <w:sz w:val="19"/>
                <w:szCs w:val="19"/>
              </w:rPr>
            </w:pPr>
          </w:p>
          <w:p w:rsidR="000556F2" w:rsidRDefault="000556F2" w:rsidP="00CA0306">
            <w:pPr>
              <w:rPr>
                <w:rFonts w:ascii="Verdana" w:eastAsia="Verdana" w:hAnsi="Verdana" w:cs="Verdana"/>
                <w:color w:val="3366CC"/>
                <w:sz w:val="19"/>
                <w:szCs w:val="19"/>
              </w:rPr>
            </w:pPr>
          </w:p>
          <w:p w:rsidR="000556F2" w:rsidRDefault="000556F2" w:rsidP="00CA0306">
            <w:pPr>
              <w:rPr>
                <w:rFonts w:ascii="Verdana" w:eastAsia="Verdana" w:hAnsi="Verdana" w:cs="Verdana"/>
                <w:color w:val="3366CC"/>
                <w:sz w:val="19"/>
                <w:szCs w:val="19"/>
              </w:rPr>
            </w:pPr>
            <w:r>
              <w:rPr>
                <w:rFonts w:ascii="Verdana" w:eastAsia="Verdana" w:hAnsi="Verdana" w:cs="Verdana"/>
                <w:color w:val="3366CC"/>
                <w:sz w:val="19"/>
                <w:szCs w:val="19"/>
              </w:rPr>
              <w:t>1. Increase in Recognition Programs:</w:t>
            </w:r>
          </w:p>
        </w:tc>
        <w:tc>
          <w:tcPr>
            <w:tcW w:w="1873" w:type="dxa"/>
            <w:tcBorders>
              <w:top w:val="single" w:sz="6" w:space="0" w:color="003399"/>
              <w:left w:val="single" w:sz="6" w:space="0" w:color="003399"/>
              <w:bottom w:val="single" w:sz="6" w:space="0" w:color="003399"/>
              <w:right w:val="single" w:sz="6" w:space="0" w:color="003399"/>
            </w:tcBorders>
          </w:tcPr>
          <w:p w:rsidR="000556F2" w:rsidRDefault="000556F2" w:rsidP="00CA0306">
            <w:pPr>
              <w:jc w:val="center"/>
              <w:rPr>
                <w:rFonts w:ascii="Verdana" w:eastAsia="Verdana" w:hAnsi="Verdana" w:cs="Verdana"/>
                <w:color w:val="3366CC"/>
                <w:sz w:val="19"/>
                <w:szCs w:val="19"/>
              </w:rPr>
            </w:pPr>
          </w:p>
          <w:p w:rsidR="000556F2" w:rsidRDefault="000556F2" w:rsidP="00CA0306">
            <w:pPr>
              <w:jc w:val="center"/>
              <w:rPr>
                <w:rFonts w:ascii="Verdana" w:eastAsia="Verdana" w:hAnsi="Verdana" w:cs="Verdana"/>
                <w:color w:val="3366CC"/>
                <w:sz w:val="19"/>
                <w:szCs w:val="19"/>
              </w:rPr>
            </w:pPr>
          </w:p>
          <w:p w:rsidR="000556F2" w:rsidRDefault="000556F2" w:rsidP="00CA0306">
            <w:pPr>
              <w:jc w:val="center"/>
              <w:rPr>
                <w:rFonts w:ascii="Verdana" w:eastAsia="Verdana" w:hAnsi="Verdana" w:cs="Verdana"/>
                <w:color w:val="3366CC"/>
                <w:sz w:val="19"/>
                <w:szCs w:val="19"/>
              </w:rPr>
            </w:pPr>
          </w:p>
          <w:p w:rsidR="000556F2" w:rsidRDefault="000556F2" w:rsidP="00CA0306">
            <w:pPr>
              <w:jc w:val="center"/>
              <w:rPr>
                <w:rFonts w:ascii="Verdana" w:eastAsia="Verdana" w:hAnsi="Verdana" w:cs="Verdana"/>
                <w:color w:val="3366CC"/>
                <w:sz w:val="19"/>
                <w:szCs w:val="19"/>
              </w:rPr>
            </w:pPr>
            <w:r>
              <w:rPr>
                <w:rFonts w:ascii="Verdana" w:eastAsia="Verdana" w:hAnsi="Verdana" w:cs="Verdana"/>
                <w:color w:val="3366CC"/>
                <w:sz w:val="19"/>
                <w:szCs w:val="19"/>
              </w:rPr>
              <w:t>19</w:t>
            </w:r>
          </w:p>
          <w:p w:rsidR="000556F2" w:rsidRDefault="000556F2" w:rsidP="00CA0306">
            <w:pPr>
              <w:jc w:val="center"/>
              <w:rPr>
                <w:rFonts w:ascii="Verdana" w:eastAsia="Verdana" w:hAnsi="Verdana" w:cs="Verdana"/>
                <w:color w:val="3366CC"/>
                <w:sz w:val="19"/>
                <w:szCs w:val="19"/>
              </w:rPr>
            </w:pPr>
            <w:r>
              <w:rPr>
                <w:rFonts w:ascii="Verdana" w:eastAsia="Verdana" w:hAnsi="Verdana" w:cs="Verdana"/>
                <w:color w:val="3366CC"/>
                <w:sz w:val="19"/>
                <w:szCs w:val="19"/>
              </w:rPr>
              <w:t>(FY2021)</w:t>
            </w:r>
          </w:p>
          <w:p w:rsidR="000556F2" w:rsidRDefault="000556F2" w:rsidP="00CA0306">
            <w:pPr>
              <w:jc w:val="center"/>
              <w:rPr>
                <w:rFonts w:ascii="Verdana" w:eastAsia="Verdana" w:hAnsi="Verdana" w:cs="Verdana"/>
                <w:color w:val="3366CC"/>
                <w:sz w:val="19"/>
                <w:szCs w:val="19"/>
              </w:rPr>
            </w:pPr>
          </w:p>
          <w:p w:rsidR="000556F2" w:rsidRDefault="000556F2" w:rsidP="00CA0306">
            <w:pPr>
              <w:jc w:val="center"/>
              <w:rPr>
                <w:rFonts w:ascii="Verdana" w:eastAsia="Verdana" w:hAnsi="Verdana" w:cs="Verdana"/>
                <w:color w:val="3366CC"/>
                <w:sz w:val="19"/>
                <w:szCs w:val="19"/>
              </w:rPr>
            </w:pPr>
          </w:p>
        </w:tc>
        <w:tc>
          <w:tcPr>
            <w:tcW w:w="975" w:type="dxa"/>
            <w:tcBorders>
              <w:top w:val="single" w:sz="6" w:space="0" w:color="003399"/>
              <w:left w:val="single" w:sz="6" w:space="0" w:color="003399"/>
              <w:bottom w:val="single" w:sz="6" w:space="0" w:color="003399"/>
              <w:right w:val="single" w:sz="6" w:space="0" w:color="003399"/>
            </w:tcBorders>
            <w:vAlign w:val="center"/>
          </w:tcPr>
          <w:p w:rsidR="000556F2" w:rsidRDefault="000556F2" w:rsidP="00CA0306">
            <w:pPr>
              <w:jc w:val="center"/>
              <w:rPr>
                <w:rFonts w:ascii="Verdana" w:eastAsia="Verdana" w:hAnsi="Verdana" w:cs="Verdana"/>
                <w:color w:val="3366CC"/>
                <w:sz w:val="19"/>
                <w:szCs w:val="19"/>
              </w:rPr>
            </w:pPr>
            <w:r>
              <w:rPr>
                <w:rFonts w:ascii="Verdana" w:eastAsia="Verdana" w:hAnsi="Verdana" w:cs="Verdana"/>
                <w:color w:val="3366CC"/>
                <w:sz w:val="19"/>
                <w:szCs w:val="19"/>
              </w:rPr>
              <w:t>2027</w:t>
            </w:r>
          </w:p>
        </w:tc>
        <w:tc>
          <w:tcPr>
            <w:tcW w:w="2675" w:type="dxa"/>
            <w:tcBorders>
              <w:top w:val="single" w:sz="6" w:space="0" w:color="003399"/>
              <w:left w:val="single" w:sz="6" w:space="0" w:color="003399"/>
              <w:bottom w:val="single" w:sz="6" w:space="0" w:color="003399"/>
              <w:right w:val="single" w:sz="6" w:space="0" w:color="003399"/>
            </w:tcBorders>
          </w:tcPr>
          <w:p w:rsidR="000556F2" w:rsidRDefault="000556F2" w:rsidP="00CA0306">
            <w:pPr>
              <w:rPr>
                <w:rFonts w:ascii="Verdana" w:eastAsia="Verdana" w:hAnsi="Verdana" w:cs="Verdana"/>
                <w:color w:val="3366CC"/>
                <w:sz w:val="19"/>
                <w:szCs w:val="19"/>
              </w:rPr>
            </w:pPr>
          </w:p>
          <w:p w:rsidR="000556F2" w:rsidRDefault="000556F2" w:rsidP="00CA0306">
            <w:pPr>
              <w:jc w:val="center"/>
              <w:rPr>
                <w:rFonts w:ascii="Verdana" w:eastAsia="Verdana" w:hAnsi="Verdana" w:cs="Verdana"/>
                <w:color w:val="3366CC"/>
                <w:sz w:val="19"/>
                <w:szCs w:val="19"/>
              </w:rPr>
            </w:pPr>
          </w:p>
          <w:p w:rsidR="000556F2" w:rsidRDefault="000556F2" w:rsidP="00CA0306">
            <w:pPr>
              <w:jc w:val="center"/>
              <w:rPr>
                <w:rFonts w:ascii="Verdana" w:eastAsia="Verdana" w:hAnsi="Verdana" w:cs="Verdana"/>
                <w:color w:val="3366CC"/>
                <w:sz w:val="19"/>
                <w:szCs w:val="19"/>
              </w:rPr>
            </w:pPr>
          </w:p>
          <w:p w:rsidR="000556F2" w:rsidRDefault="000556F2" w:rsidP="00CA0306">
            <w:pPr>
              <w:jc w:val="center"/>
              <w:rPr>
                <w:rFonts w:ascii="Verdana" w:eastAsia="Verdana" w:hAnsi="Verdana" w:cs="Verdana"/>
                <w:color w:val="3366CC"/>
                <w:sz w:val="19"/>
                <w:szCs w:val="19"/>
              </w:rPr>
            </w:pPr>
            <w:r>
              <w:rPr>
                <w:rFonts w:ascii="Verdana" w:eastAsia="Verdana" w:hAnsi="Verdana" w:cs="Verdana"/>
                <w:color w:val="3366CC"/>
                <w:sz w:val="19"/>
                <w:szCs w:val="19"/>
              </w:rPr>
              <w:t>3 new Recognition Programs</w:t>
            </w:r>
          </w:p>
          <w:p w:rsidR="000556F2" w:rsidRDefault="000556F2" w:rsidP="00CA0306">
            <w:pPr>
              <w:rPr>
                <w:rFonts w:ascii="Verdana" w:eastAsia="Verdana" w:hAnsi="Verdana" w:cs="Verdana"/>
                <w:color w:val="3366CC"/>
                <w:sz w:val="19"/>
                <w:szCs w:val="19"/>
              </w:rPr>
            </w:pPr>
          </w:p>
          <w:p w:rsidR="000556F2" w:rsidRDefault="000556F2" w:rsidP="00CA0306">
            <w:pPr>
              <w:rPr>
                <w:rFonts w:ascii="Verdana" w:eastAsia="Verdana" w:hAnsi="Verdana" w:cs="Verdana"/>
                <w:color w:val="3366CC"/>
                <w:sz w:val="19"/>
                <w:szCs w:val="19"/>
              </w:rPr>
            </w:pPr>
          </w:p>
        </w:tc>
      </w:tr>
      <w:tr w:rsidR="000556F2" w:rsidTr="00CA0306">
        <w:tc>
          <w:tcPr>
            <w:tcW w:w="4112" w:type="dxa"/>
            <w:tcBorders>
              <w:top w:val="single" w:sz="6" w:space="0" w:color="003399"/>
              <w:left w:val="single" w:sz="6" w:space="0" w:color="003399"/>
              <w:bottom w:val="single" w:sz="6" w:space="0" w:color="003399"/>
              <w:right w:val="single" w:sz="6" w:space="0" w:color="003399"/>
            </w:tcBorders>
            <w:vAlign w:val="center"/>
          </w:tcPr>
          <w:p w:rsidR="000556F2" w:rsidRDefault="000556F2" w:rsidP="00CA0306">
            <w:pPr>
              <w:rPr>
                <w:color w:val="3366CC"/>
              </w:rPr>
            </w:pPr>
            <w:r>
              <w:rPr>
                <w:rFonts w:ascii="Verdana" w:eastAsia="Verdana" w:hAnsi="Verdana" w:cs="Verdana"/>
                <w:color w:val="3366CC"/>
                <w:sz w:val="19"/>
                <w:szCs w:val="19"/>
              </w:rPr>
              <w:t>2. Increase in Partnerships:</w:t>
            </w:r>
          </w:p>
          <w:p w:rsidR="000556F2" w:rsidRDefault="000556F2" w:rsidP="00CA0306">
            <w:pPr>
              <w:spacing w:before="280" w:after="100"/>
              <w:ind w:left="360"/>
              <w:rPr>
                <w:rFonts w:ascii="Verdana" w:eastAsia="Verdana" w:hAnsi="Verdana" w:cs="Verdana"/>
                <w:color w:val="3366CC"/>
                <w:sz w:val="19"/>
                <w:szCs w:val="19"/>
              </w:rPr>
            </w:pPr>
            <w:r>
              <w:rPr>
                <w:rFonts w:ascii="Verdana" w:eastAsia="Verdana" w:hAnsi="Verdana" w:cs="Verdana"/>
                <w:color w:val="3366CC"/>
                <w:sz w:val="19"/>
                <w:szCs w:val="19"/>
              </w:rPr>
              <w:t>Cooperative Partnerships</w:t>
            </w:r>
          </w:p>
        </w:tc>
        <w:tc>
          <w:tcPr>
            <w:tcW w:w="1873" w:type="dxa"/>
            <w:tcBorders>
              <w:top w:val="single" w:sz="6" w:space="0" w:color="003399"/>
              <w:left w:val="single" w:sz="6" w:space="0" w:color="003399"/>
              <w:bottom w:val="single" w:sz="6" w:space="0" w:color="003399"/>
              <w:right w:val="single" w:sz="6" w:space="0" w:color="003399"/>
            </w:tcBorders>
            <w:vAlign w:val="center"/>
          </w:tcPr>
          <w:p w:rsidR="000556F2" w:rsidRDefault="000556F2" w:rsidP="00CA0306">
            <w:pPr>
              <w:jc w:val="center"/>
              <w:rPr>
                <w:rFonts w:ascii="Verdana" w:eastAsia="Verdana" w:hAnsi="Verdana" w:cs="Verdana"/>
                <w:color w:val="3366CC"/>
                <w:sz w:val="19"/>
                <w:szCs w:val="19"/>
              </w:rPr>
            </w:pPr>
            <w:r>
              <w:rPr>
                <w:rFonts w:ascii="Verdana" w:eastAsia="Verdana" w:hAnsi="Verdana" w:cs="Verdana"/>
                <w:color w:val="3366CC"/>
                <w:sz w:val="19"/>
                <w:szCs w:val="19"/>
              </w:rPr>
              <w:t>96</w:t>
            </w:r>
          </w:p>
          <w:p w:rsidR="000556F2" w:rsidRDefault="000556F2" w:rsidP="00CA0306">
            <w:pPr>
              <w:jc w:val="center"/>
              <w:rPr>
                <w:rFonts w:ascii="Verdana" w:eastAsia="Verdana" w:hAnsi="Verdana" w:cs="Verdana"/>
                <w:color w:val="3366CC"/>
                <w:sz w:val="19"/>
                <w:szCs w:val="19"/>
              </w:rPr>
            </w:pPr>
            <w:r>
              <w:rPr>
                <w:rFonts w:ascii="Verdana" w:eastAsia="Verdana" w:hAnsi="Verdana" w:cs="Verdana"/>
                <w:color w:val="3366CC"/>
                <w:sz w:val="19"/>
                <w:szCs w:val="19"/>
              </w:rPr>
              <w:t>(FY2021)</w:t>
            </w:r>
          </w:p>
        </w:tc>
        <w:tc>
          <w:tcPr>
            <w:tcW w:w="975" w:type="dxa"/>
            <w:tcBorders>
              <w:top w:val="single" w:sz="6" w:space="0" w:color="003399"/>
              <w:left w:val="single" w:sz="6" w:space="0" w:color="003399"/>
              <w:bottom w:val="single" w:sz="6" w:space="0" w:color="003399"/>
              <w:right w:val="single" w:sz="6" w:space="0" w:color="003399"/>
            </w:tcBorders>
            <w:vAlign w:val="center"/>
          </w:tcPr>
          <w:p w:rsidR="000556F2" w:rsidRDefault="000556F2" w:rsidP="00CA0306">
            <w:pPr>
              <w:jc w:val="center"/>
              <w:rPr>
                <w:rFonts w:ascii="Verdana" w:eastAsia="Verdana" w:hAnsi="Verdana" w:cs="Verdana"/>
                <w:color w:val="3366CC"/>
                <w:sz w:val="19"/>
                <w:szCs w:val="19"/>
              </w:rPr>
            </w:pPr>
            <w:r>
              <w:rPr>
                <w:rFonts w:ascii="Verdana" w:eastAsia="Verdana" w:hAnsi="Verdana" w:cs="Verdana"/>
                <w:color w:val="3366CC"/>
                <w:sz w:val="19"/>
                <w:szCs w:val="19"/>
              </w:rPr>
              <w:t>2027</w:t>
            </w:r>
          </w:p>
        </w:tc>
        <w:tc>
          <w:tcPr>
            <w:tcW w:w="2675" w:type="dxa"/>
            <w:tcBorders>
              <w:top w:val="single" w:sz="6" w:space="0" w:color="003399"/>
              <w:left w:val="single" w:sz="6" w:space="0" w:color="003399"/>
              <w:bottom w:val="single" w:sz="6" w:space="0" w:color="003399"/>
              <w:right w:val="single" w:sz="6" w:space="0" w:color="003399"/>
            </w:tcBorders>
            <w:vAlign w:val="center"/>
          </w:tcPr>
          <w:p w:rsidR="000556F2" w:rsidRDefault="000556F2" w:rsidP="00CA0306">
            <w:pPr>
              <w:jc w:val="center"/>
              <w:rPr>
                <w:rFonts w:ascii="Verdana" w:eastAsia="Verdana" w:hAnsi="Verdana" w:cs="Verdana"/>
                <w:color w:val="3366CC"/>
                <w:sz w:val="19"/>
                <w:szCs w:val="19"/>
              </w:rPr>
            </w:pPr>
            <w:r>
              <w:rPr>
                <w:rFonts w:ascii="Verdana" w:eastAsia="Verdana" w:hAnsi="Verdana" w:cs="Verdana"/>
                <w:color w:val="3366CC"/>
                <w:sz w:val="19"/>
                <w:szCs w:val="19"/>
              </w:rPr>
              <w:t>8 new Cooperative Programs</w:t>
            </w:r>
          </w:p>
          <w:p w:rsidR="000556F2" w:rsidRDefault="000556F2" w:rsidP="00CA0306">
            <w:pPr>
              <w:rPr>
                <w:rFonts w:ascii="Verdana" w:eastAsia="Verdana" w:hAnsi="Verdana" w:cs="Verdana"/>
                <w:color w:val="3366CC"/>
                <w:sz w:val="19"/>
                <w:szCs w:val="19"/>
              </w:rPr>
            </w:pPr>
          </w:p>
        </w:tc>
      </w:tr>
      <w:tr w:rsidR="000556F2" w:rsidTr="00CA0306">
        <w:tc>
          <w:tcPr>
            <w:tcW w:w="4112" w:type="dxa"/>
            <w:tcBorders>
              <w:top w:val="single" w:sz="6" w:space="0" w:color="003399"/>
              <w:left w:val="single" w:sz="6" w:space="0" w:color="003399"/>
              <w:bottom w:val="single" w:sz="6" w:space="0" w:color="003399"/>
              <w:right w:val="single" w:sz="6" w:space="0" w:color="003399"/>
            </w:tcBorders>
          </w:tcPr>
          <w:p w:rsidR="000556F2" w:rsidRPr="00241BD0" w:rsidRDefault="000556F2" w:rsidP="00CA0306">
            <w:pPr>
              <w:rPr>
                <w:rFonts w:ascii="Verdana" w:eastAsia="Verdana" w:hAnsi="Verdana" w:cs="Verdana"/>
                <w:color w:val="3366CC"/>
                <w:sz w:val="19"/>
                <w:szCs w:val="19"/>
              </w:rPr>
            </w:pPr>
            <w:r w:rsidRPr="00241BD0">
              <w:rPr>
                <w:rFonts w:ascii="Verdana" w:eastAsia="Verdana" w:hAnsi="Verdana" w:cs="Verdana"/>
                <w:color w:val="3366CC"/>
                <w:sz w:val="19"/>
                <w:szCs w:val="19"/>
              </w:rPr>
              <w:t>3. Ensure a minimum number of MOSH outreach and training programs (i.e. speaker requests and educational seminars)</w:t>
            </w:r>
          </w:p>
        </w:tc>
        <w:tc>
          <w:tcPr>
            <w:tcW w:w="1873" w:type="dxa"/>
            <w:tcBorders>
              <w:top w:val="single" w:sz="6" w:space="0" w:color="003399"/>
              <w:left w:val="single" w:sz="6" w:space="0" w:color="003399"/>
              <w:bottom w:val="single" w:sz="6" w:space="0" w:color="003399"/>
              <w:right w:val="single" w:sz="6" w:space="0" w:color="003399"/>
            </w:tcBorders>
            <w:vAlign w:val="center"/>
          </w:tcPr>
          <w:p w:rsidR="000556F2" w:rsidRDefault="000556F2" w:rsidP="00CA0306">
            <w:pPr>
              <w:jc w:val="center"/>
              <w:rPr>
                <w:rFonts w:ascii="Verdana" w:eastAsia="Verdana" w:hAnsi="Verdana" w:cs="Verdana"/>
                <w:color w:val="3366CC"/>
                <w:sz w:val="18"/>
                <w:szCs w:val="18"/>
              </w:rPr>
            </w:pPr>
            <w:r>
              <w:rPr>
                <w:rFonts w:ascii="Verdana" w:eastAsia="Verdana" w:hAnsi="Verdana" w:cs="Verdana"/>
                <w:color w:val="3366CC"/>
                <w:sz w:val="18"/>
                <w:szCs w:val="18"/>
              </w:rPr>
              <w:t xml:space="preserve">1 event per month </w:t>
            </w:r>
          </w:p>
          <w:p w:rsidR="000556F2" w:rsidRDefault="000556F2" w:rsidP="00CA0306">
            <w:pPr>
              <w:jc w:val="center"/>
              <w:rPr>
                <w:rFonts w:ascii="Verdana" w:eastAsia="Verdana" w:hAnsi="Verdana" w:cs="Verdana"/>
                <w:color w:val="3366CC"/>
                <w:sz w:val="18"/>
                <w:szCs w:val="18"/>
              </w:rPr>
            </w:pPr>
            <w:r>
              <w:rPr>
                <w:rFonts w:ascii="Verdana" w:eastAsia="Verdana" w:hAnsi="Verdana" w:cs="Verdana"/>
                <w:color w:val="3366CC"/>
                <w:sz w:val="18"/>
                <w:szCs w:val="18"/>
              </w:rPr>
              <w:t>(average)</w:t>
            </w:r>
          </w:p>
        </w:tc>
        <w:tc>
          <w:tcPr>
            <w:tcW w:w="975" w:type="dxa"/>
            <w:tcBorders>
              <w:top w:val="single" w:sz="6" w:space="0" w:color="003399"/>
              <w:left w:val="single" w:sz="6" w:space="0" w:color="003399"/>
              <w:bottom w:val="single" w:sz="6" w:space="0" w:color="003399"/>
              <w:right w:val="single" w:sz="6" w:space="0" w:color="003399"/>
            </w:tcBorders>
            <w:vAlign w:val="center"/>
          </w:tcPr>
          <w:p w:rsidR="000556F2" w:rsidRDefault="000556F2" w:rsidP="00CA0306">
            <w:pPr>
              <w:jc w:val="center"/>
              <w:rPr>
                <w:rFonts w:ascii="Verdana" w:eastAsia="Verdana" w:hAnsi="Verdana" w:cs="Verdana"/>
                <w:color w:val="3366CC"/>
                <w:sz w:val="18"/>
                <w:szCs w:val="18"/>
              </w:rPr>
            </w:pPr>
            <w:r>
              <w:rPr>
                <w:rFonts w:ascii="Verdana" w:eastAsia="Verdana" w:hAnsi="Verdana" w:cs="Verdana"/>
                <w:color w:val="3366CC"/>
                <w:sz w:val="18"/>
                <w:szCs w:val="18"/>
              </w:rPr>
              <w:t>Annual</w:t>
            </w:r>
          </w:p>
        </w:tc>
        <w:tc>
          <w:tcPr>
            <w:tcW w:w="2675" w:type="dxa"/>
            <w:tcBorders>
              <w:top w:val="single" w:sz="6" w:space="0" w:color="003399"/>
              <w:left w:val="single" w:sz="6" w:space="0" w:color="003399"/>
              <w:bottom w:val="single" w:sz="6" w:space="0" w:color="003399"/>
              <w:right w:val="single" w:sz="6" w:space="0" w:color="003399"/>
            </w:tcBorders>
            <w:vAlign w:val="center"/>
          </w:tcPr>
          <w:p w:rsidR="000556F2" w:rsidRDefault="000556F2" w:rsidP="00CA0306">
            <w:pPr>
              <w:jc w:val="center"/>
              <w:rPr>
                <w:rFonts w:ascii="Verdana" w:eastAsia="Verdana" w:hAnsi="Verdana" w:cs="Verdana"/>
                <w:color w:val="3366CC"/>
                <w:sz w:val="18"/>
                <w:szCs w:val="18"/>
              </w:rPr>
            </w:pPr>
            <w:r>
              <w:rPr>
                <w:rFonts w:ascii="Verdana" w:eastAsia="Verdana" w:hAnsi="Verdana" w:cs="Verdana"/>
                <w:color w:val="3366CC"/>
                <w:sz w:val="18"/>
                <w:szCs w:val="18"/>
              </w:rPr>
              <w:t xml:space="preserve">12 events </w:t>
            </w:r>
          </w:p>
        </w:tc>
      </w:tr>
      <w:tr w:rsidR="000556F2" w:rsidTr="00CA0306">
        <w:tc>
          <w:tcPr>
            <w:tcW w:w="4112" w:type="dxa"/>
            <w:tcBorders>
              <w:top w:val="single" w:sz="6" w:space="0" w:color="003399"/>
              <w:left w:val="single" w:sz="6" w:space="0" w:color="003399"/>
              <w:bottom w:val="single" w:sz="6" w:space="0" w:color="003399"/>
              <w:right w:val="single" w:sz="6" w:space="0" w:color="003399"/>
            </w:tcBorders>
          </w:tcPr>
          <w:p w:rsidR="000556F2" w:rsidRPr="00241BD0" w:rsidRDefault="000556F2" w:rsidP="00CA0306">
            <w:pPr>
              <w:rPr>
                <w:rFonts w:ascii="Verdana" w:eastAsia="Verdana" w:hAnsi="Verdana" w:cs="Verdana"/>
                <w:color w:val="3366CC"/>
                <w:sz w:val="19"/>
                <w:szCs w:val="19"/>
              </w:rPr>
            </w:pPr>
            <w:r w:rsidRPr="00241BD0">
              <w:rPr>
                <w:rFonts w:ascii="Verdana" w:eastAsia="Verdana" w:hAnsi="Verdana" w:cs="Verdana"/>
                <w:color w:val="3366CC"/>
                <w:sz w:val="19"/>
                <w:szCs w:val="19"/>
              </w:rPr>
              <w:t xml:space="preserve">4. </w:t>
            </w:r>
            <w:r>
              <w:rPr>
                <w:rFonts w:ascii="Verdana" w:eastAsia="Verdana" w:hAnsi="Verdana" w:cs="Verdana"/>
                <w:color w:val="3366CC"/>
                <w:sz w:val="19"/>
                <w:szCs w:val="19"/>
              </w:rPr>
              <w:t>Develop</w:t>
            </w:r>
            <w:r w:rsidRPr="00241BD0">
              <w:rPr>
                <w:rFonts w:ascii="Verdana" w:eastAsia="Verdana" w:hAnsi="Verdana" w:cs="Verdana"/>
                <w:color w:val="3366CC"/>
                <w:sz w:val="19"/>
                <w:szCs w:val="19"/>
              </w:rPr>
              <w:t xml:space="preserve"> a public sector initiative program to leverage Agency resources in the following areas: MOSH Enforcement, partnerships/alliances, training, and consultation </w:t>
            </w:r>
          </w:p>
        </w:tc>
        <w:tc>
          <w:tcPr>
            <w:tcW w:w="1873" w:type="dxa"/>
            <w:tcBorders>
              <w:top w:val="single" w:sz="6" w:space="0" w:color="003399"/>
              <w:left w:val="single" w:sz="6" w:space="0" w:color="003399"/>
              <w:bottom w:val="single" w:sz="6" w:space="0" w:color="003399"/>
              <w:right w:val="single" w:sz="6" w:space="0" w:color="003399"/>
            </w:tcBorders>
            <w:vAlign w:val="center"/>
          </w:tcPr>
          <w:p w:rsidR="000556F2" w:rsidRDefault="000556F2" w:rsidP="00CA0306">
            <w:pPr>
              <w:jc w:val="center"/>
              <w:rPr>
                <w:rFonts w:ascii="Verdana" w:eastAsia="Verdana" w:hAnsi="Verdana" w:cs="Verdana"/>
                <w:color w:val="3366CC"/>
                <w:sz w:val="18"/>
                <w:szCs w:val="18"/>
              </w:rPr>
            </w:pPr>
            <w:r>
              <w:rPr>
                <w:rFonts w:ascii="Verdana" w:eastAsia="Verdana" w:hAnsi="Verdana" w:cs="Verdana"/>
                <w:color w:val="3366CC"/>
                <w:sz w:val="18"/>
                <w:szCs w:val="18"/>
              </w:rPr>
              <w:t>n/a</w:t>
            </w:r>
          </w:p>
        </w:tc>
        <w:tc>
          <w:tcPr>
            <w:tcW w:w="975" w:type="dxa"/>
            <w:tcBorders>
              <w:top w:val="single" w:sz="6" w:space="0" w:color="003399"/>
              <w:left w:val="single" w:sz="6" w:space="0" w:color="003399"/>
              <w:bottom w:val="single" w:sz="6" w:space="0" w:color="003399"/>
              <w:right w:val="single" w:sz="6" w:space="0" w:color="003399"/>
            </w:tcBorders>
            <w:vAlign w:val="center"/>
          </w:tcPr>
          <w:p w:rsidR="000556F2" w:rsidRDefault="000556F2" w:rsidP="00CA0306">
            <w:pPr>
              <w:jc w:val="center"/>
              <w:rPr>
                <w:rFonts w:ascii="Verdana" w:eastAsia="Verdana" w:hAnsi="Verdana" w:cs="Verdana"/>
                <w:color w:val="3366CC"/>
                <w:sz w:val="18"/>
                <w:szCs w:val="18"/>
              </w:rPr>
            </w:pPr>
            <w:r>
              <w:rPr>
                <w:rFonts w:ascii="Verdana" w:eastAsia="Verdana" w:hAnsi="Verdana" w:cs="Verdana"/>
                <w:color w:val="3366CC"/>
                <w:sz w:val="18"/>
                <w:szCs w:val="18"/>
              </w:rPr>
              <w:t>Annual</w:t>
            </w:r>
          </w:p>
        </w:tc>
        <w:tc>
          <w:tcPr>
            <w:tcW w:w="2675" w:type="dxa"/>
            <w:tcBorders>
              <w:top w:val="single" w:sz="6" w:space="0" w:color="003399"/>
              <w:left w:val="single" w:sz="6" w:space="0" w:color="003399"/>
              <w:bottom w:val="single" w:sz="6" w:space="0" w:color="003399"/>
              <w:right w:val="single" w:sz="6" w:space="0" w:color="003399"/>
            </w:tcBorders>
            <w:vAlign w:val="center"/>
          </w:tcPr>
          <w:p w:rsidR="000556F2" w:rsidRDefault="000556F2" w:rsidP="00CA0306">
            <w:pPr>
              <w:jc w:val="center"/>
              <w:rPr>
                <w:rFonts w:ascii="Verdana" w:eastAsia="Verdana" w:hAnsi="Verdana" w:cs="Verdana"/>
                <w:color w:val="3366CC"/>
                <w:sz w:val="18"/>
                <w:szCs w:val="18"/>
              </w:rPr>
            </w:pPr>
            <w:r>
              <w:rPr>
                <w:rFonts w:ascii="Verdana" w:eastAsia="Verdana" w:hAnsi="Verdana" w:cs="Verdana"/>
                <w:color w:val="3366CC"/>
                <w:sz w:val="18"/>
                <w:szCs w:val="18"/>
              </w:rPr>
              <w:t xml:space="preserve">4 Public Sector Emphasis Programs </w:t>
            </w:r>
          </w:p>
        </w:tc>
      </w:tr>
    </w:tbl>
    <w:p w:rsidR="000556F2" w:rsidRDefault="000556F2" w:rsidP="000556F2">
      <w:pPr>
        <w:widowControl w:val="0"/>
        <w:rPr>
          <w:rFonts w:ascii="Verdana" w:eastAsia="Verdana" w:hAnsi="Verdana" w:cs="Verdana"/>
          <w:b/>
          <w:color w:val="3366CC"/>
          <w:sz w:val="19"/>
          <w:szCs w:val="19"/>
        </w:rPr>
      </w:pPr>
    </w:p>
    <w:p w:rsidR="000556F2" w:rsidRDefault="000556F2" w:rsidP="000556F2">
      <w:pPr>
        <w:widowControl w:val="0"/>
        <w:rPr>
          <w:rFonts w:ascii="Verdana" w:eastAsia="Verdana" w:hAnsi="Verdana" w:cs="Verdana"/>
          <w:b/>
          <w:color w:val="3366CC"/>
          <w:sz w:val="19"/>
          <w:szCs w:val="19"/>
        </w:rPr>
      </w:pPr>
    </w:p>
    <w:p w:rsidR="000556F2" w:rsidRDefault="000556F2" w:rsidP="000556F2">
      <w:pPr>
        <w:widowControl w:val="0"/>
        <w:rPr>
          <w:rFonts w:ascii="Verdana" w:eastAsia="Verdana" w:hAnsi="Verdana" w:cs="Verdana"/>
          <w:b/>
          <w:color w:val="3366CC"/>
          <w:sz w:val="19"/>
          <w:szCs w:val="19"/>
        </w:rPr>
      </w:pPr>
      <w:r>
        <w:rPr>
          <w:rFonts w:ascii="Verdana" w:eastAsia="Verdana" w:hAnsi="Verdana" w:cs="Verdana"/>
          <w:b/>
          <w:color w:val="3366CC"/>
          <w:sz w:val="19"/>
          <w:szCs w:val="19"/>
        </w:rPr>
        <w:t>Strategy 2-1: Add 3 new Recognition Programs by 2027</w:t>
      </w:r>
    </w:p>
    <w:p w:rsidR="000556F2" w:rsidRDefault="000556F2" w:rsidP="000556F2">
      <w:pPr>
        <w:widowControl w:val="0"/>
        <w:rPr>
          <w:rFonts w:ascii="Verdana" w:eastAsia="Verdana" w:hAnsi="Verdana" w:cs="Verdana"/>
          <w:b/>
          <w:color w:val="3366CC"/>
          <w:sz w:val="19"/>
          <w:szCs w:val="19"/>
          <w:highlight w:val="yellow"/>
        </w:rPr>
      </w:pPr>
    </w:p>
    <w:p w:rsidR="000556F2" w:rsidRDefault="000556F2" w:rsidP="000556F2">
      <w:pPr>
        <w:widowControl w:val="0"/>
        <w:rPr>
          <w:rFonts w:ascii="Verdana" w:eastAsia="Verdana" w:hAnsi="Verdana" w:cs="Verdana"/>
          <w:b/>
          <w:color w:val="3366CC"/>
          <w:sz w:val="19"/>
          <w:szCs w:val="19"/>
          <w:highlight w:val="yellow"/>
        </w:rPr>
      </w:pPr>
      <w:r>
        <w:rPr>
          <w:rFonts w:ascii="Verdana" w:eastAsia="Verdana" w:hAnsi="Verdana" w:cs="Verdana"/>
          <w:b/>
          <w:color w:val="3366CC"/>
          <w:sz w:val="19"/>
          <w:szCs w:val="19"/>
        </w:rPr>
        <w:t>Strategy 2-2: Add 8 new Cooperative Programs by 2027</w:t>
      </w:r>
    </w:p>
    <w:p w:rsidR="000556F2" w:rsidRDefault="000556F2" w:rsidP="000556F2">
      <w:pPr>
        <w:widowControl w:val="0"/>
        <w:rPr>
          <w:rFonts w:ascii="Verdana" w:eastAsia="Verdana" w:hAnsi="Verdana" w:cs="Verdana"/>
          <w:b/>
          <w:color w:val="3366CC"/>
          <w:sz w:val="19"/>
          <w:szCs w:val="19"/>
          <w:highlight w:val="yellow"/>
        </w:rPr>
      </w:pPr>
    </w:p>
    <w:p w:rsidR="000556F2" w:rsidRDefault="000556F2" w:rsidP="000556F2">
      <w:pPr>
        <w:widowControl w:val="0"/>
        <w:rPr>
          <w:rFonts w:ascii="Verdana" w:eastAsia="Verdana" w:hAnsi="Verdana" w:cs="Verdana"/>
          <w:b/>
          <w:color w:val="3366CC"/>
          <w:sz w:val="19"/>
          <w:szCs w:val="19"/>
        </w:rPr>
      </w:pPr>
      <w:r>
        <w:rPr>
          <w:rFonts w:ascii="Verdana" w:eastAsia="Verdana" w:hAnsi="Verdana" w:cs="Verdana"/>
          <w:b/>
          <w:color w:val="3366CC"/>
          <w:sz w:val="19"/>
          <w:szCs w:val="19"/>
        </w:rPr>
        <w:t>Strategy 2-3: Ensure a minimum of 12 Outreach events annually</w:t>
      </w:r>
    </w:p>
    <w:p w:rsidR="000556F2" w:rsidRDefault="000556F2" w:rsidP="000556F2">
      <w:pPr>
        <w:widowControl w:val="0"/>
        <w:rPr>
          <w:rFonts w:ascii="Verdana" w:eastAsia="Verdana" w:hAnsi="Verdana" w:cs="Verdana"/>
          <w:b/>
          <w:color w:val="3366CC"/>
          <w:sz w:val="19"/>
          <w:szCs w:val="19"/>
        </w:rPr>
      </w:pPr>
    </w:p>
    <w:p w:rsidR="000556F2" w:rsidRDefault="000556F2" w:rsidP="000556F2">
      <w:pPr>
        <w:widowControl w:val="0"/>
        <w:rPr>
          <w:rFonts w:ascii="Verdana" w:eastAsia="Verdana" w:hAnsi="Verdana" w:cs="Verdana"/>
          <w:b/>
          <w:color w:val="3366CC"/>
          <w:sz w:val="19"/>
          <w:szCs w:val="19"/>
        </w:rPr>
      </w:pPr>
      <w:r>
        <w:rPr>
          <w:rFonts w:ascii="Verdana" w:eastAsia="Verdana" w:hAnsi="Verdana" w:cs="Verdana"/>
          <w:b/>
          <w:color w:val="3366CC"/>
          <w:sz w:val="19"/>
          <w:szCs w:val="19"/>
        </w:rPr>
        <w:t>Strategy 2-4: Add 4 new Public Sector Emphasis Programs annually.</w:t>
      </w:r>
    </w:p>
    <w:p w:rsidR="000556F2" w:rsidRDefault="000556F2" w:rsidP="000556F2">
      <w:pPr>
        <w:widowControl w:val="0"/>
        <w:rPr>
          <w:rFonts w:ascii="Verdana" w:eastAsia="Verdana" w:hAnsi="Verdana" w:cs="Verdana"/>
          <w:b/>
          <w:color w:val="3366CC"/>
          <w:sz w:val="19"/>
          <w:szCs w:val="19"/>
        </w:rPr>
      </w:pPr>
    </w:p>
    <w:p w:rsidR="000556F2" w:rsidRDefault="000556F2" w:rsidP="000556F2">
      <w:pPr>
        <w:widowControl w:val="0"/>
        <w:rPr>
          <w:rFonts w:ascii="Verdana" w:eastAsia="Verdana" w:hAnsi="Verdana" w:cs="Verdana"/>
          <w:b/>
          <w:color w:val="3366CC"/>
          <w:sz w:val="19"/>
          <w:szCs w:val="19"/>
        </w:rPr>
      </w:pPr>
    </w:p>
    <w:tbl>
      <w:tblPr>
        <w:tblW w:w="9423" w:type="dxa"/>
        <w:tblInd w:w="-108" w:type="dxa"/>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Layout w:type="fixed"/>
        <w:tblLook w:val="0000" w:firstRow="0" w:lastRow="0" w:firstColumn="0" w:lastColumn="0" w:noHBand="0" w:noVBand="0"/>
      </w:tblPr>
      <w:tblGrid>
        <w:gridCol w:w="9423"/>
      </w:tblGrid>
      <w:tr w:rsidR="000556F2" w:rsidTr="00CA0306">
        <w:tc>
          <w:tcPr>
            <w:tcW w:w="9423" w:type="dxa"/>
            <w:shd w:val="clear" w:color="auto" w:fill="FFFFCC"/>
          </w:tcPr>
          <w:p w:rsidR="000556F2" w:rsidRDefault="000556F2" w:rsidP="00CA0306">
            <w:pPr>
              <w:rPr>
                <w:rFonts w:ascii="Verdana" w:eastAsia="Verdana" w:hAnsi="Verdana" w:cs="Verdana"/>
                <w:b/>
                <w:color w:val="3366CC"/>
                <w:sz w:val="19"/>
                <w:szCs w:val="19"/>
              </w:rPr>
            </w:pPr>
            <w:r>
              <w:rPr>
                <w:rFonts w:ascii="Verdana" w:eastAsia="Verdana" w:hAnsi="Verdana" w:cs="Verdana"/>
                <w:b/>
                <w:color w:val="3366CC"/>
                <w:sz w:val="19"/>
                <w:szCs w:val="19"/>
              </w:rPr>
              <w:t>Strategic Goal 3:</w:t>
            </w:r>
          </w:p>
        </w:tc>
      </w:tr>
      <w:tr w:rsidR="000556F2" w:rsidTr="00CA0306">
        <w:trPr>
          <w:trHeight w:val="440"/>
        </w:trPr>
        <w:tc>
          <w:tcPr>
            <w:tcW w:w="9423" w:type="dxa"/>
            <w:vAlign w:val="center"/>
          </w:tcPr>
          <w:p w:rsidR="000556F2" w:rsidRDefault="000556F2" w:rsidP="00CA0306">
            <w:pPr>
              <w:spacing w:after="240"/>
              <w:rPr>
                <w:rFonts w:ascii="Verdana" w:eastAsia="Verdana" w:hAnsi="Verdana" w:cs="Verdana"/>
                <w:color w:val="3366CC"/>
                <w:sz w:val="19"/>
                <w:szCs w:val="19"/>
              </w:rPr>
            </w:pPr>
            <w:r>
              <w:rPr>
                <w:rFonts w:ascii="Verdana" w:eastAsia="Verdana" w:hAnsi="Verdana" w:cs="Verdana"/>
                <w:color w:val="3366CC"/>
                <w:sz w:val="19"/>
                <w:szCs w:val="19"/>
              </w:rPr>
              <w:t>Secure public confidence through excellence in the development and delivery of MOSH programs and services, and by providing excellent customer service.</w:t>
            </w:r>
          </w:p>
        </w:tc>
      </w:tr>
    </w:tbl>
    <w:p w:rsidR="000556F2" w:rsidRDefault="000556F2" w:rsidP="000556F2">
      <w:pPr>
        <w:widowControl w:val="0"/>
        <w:rPr>
          <w:rFonts w:ascii="Verdana" w:eastAsia="Verdana" w:hAnsi="Verdana" w:cs="Verdana"/>
          <w:b/>
          <w:color w:val="3366CC"/>
          <w:sz w:val="19"/>
          <w:szCs w:val="19"/>
        </w:rPr>
      </w:pPr>
    </w:p>
    <w:p w:rsidR="000556F2" w:rsidRDefault="000556F2" w:rsidP="000556F2">
      <w:pPr>
        <w:widowControl w:val="0"/>
        <w:rPr>
          <w:rFonts w:ascii="Verdana" w:eastAsia="Verdana" w:hAnsi="Verdana" w:cs="Verdana"/>
          <w:color w:val="3366CC"/>
          <w:sz w:val="19"/>
          <w:szCs w:val="19"/>
        </w:rPr>
      </w:pPr>
      <w:r>
        <w:rPr>
          <w:rFonts w:ascii="Verdana" w:eastAsia="Verdana" w:hAnsi="Verdana" w:cs="Verdana"/>
          <w:color w:val="3366CC"/>
          <w:sz w:val="19"/>
          <w:szCs w:val="19"/>
        </w:rPr>
        <w:t>Success in achieving our strategic goals requires monitoring and response to events and customer feedback.  MOSH will improve data management and information systems that provide critical program support, track activities related to achieving strategic goals, and continue to improve our response time to unprogrammed activities.</w:t>
      </w:r>
    </w:p>
    <w:p w:rsidR="000556F2" w:rsidRDefault="000556F2" w:rsidP="000556F2">
      <w:pPr>
        <w:widowControl w:val="0"/>
        <w:rPr>
          <w:rFonts w:ascii="Verdana" w:eastAsia="Verdana" w:hAnsi="Verdana" w:cs="Verdana"/>
          <w:color w:val="3366CC"/>
          <w:sz w:val="19"/>
          <w:szCs w:val="19"/>
        </w:rPr>
      </w:pPr>
    </w:p>
    <w:p w:rsidR="000556F2" w:rsidRDefault="000556F2" w:rsidP="000556F2">
      <w:pPr>
        <w:widowControl w:val="0"/>
        <w:rPr>
          <w:rFonts w:ascii="Verdana" w:eastAsia="Verdana" w:hAnsi="Verdana" w:cs="Verdana"/>
          <w:b/>
          <w:color w:val="3366CC"/>
          <w:sz w:val="19"/>
          <w:szCs w:val="19"/>
        </w:rPr>
      </w:pPr>
    </w:p>
    <w:tbl>
      <w:tblPr>
        <w:tblW w:w="9315" w:type="dxa"/>
        <w:tblInd w:w="-90" w:type="dxa"/>
        <w:tblBorders>
          <w:top w:val="single" w:sz="6" w:space="0" w:color="003399"/>
          <w:left w:val="single" w:sz="6" w:space="0" w:color="003399"/>
          <w:bottom w:val="single" w:sz="6" w:space="0" w:color="003399"/>
          <w:right w:val="single" w:sz="6" w:space="0" w:color="003399"/>
          <w:insideH w:val="nil"/>
          <w:insideV w:val="nil"/>
        </w:tblBorders>
        <w:tblLayout w:type="fixed"/>
        <w:tblLook w:val="0000" w:firstRow="0" w:lastRow="0" w:firstColumn="0" w:lastColumn="0" w:noHBand="0" w:noVBand="0"/>
      </w:tblPr>
      <w:tblGrid>
        <w:gridCol w:w="5226"/>
        <w:gridCol w:w="1525"/>
        <w:gridCol w:w="1084"/>
        <w:gridCol w:w="1480"/>
      </w:tblGrid>
      <w:tr w:rsidR="000556F2" w:rsidTr="00CA0306">
        <w:tc>
          <w:tcPr>
            <w:tcW w:w="5226" w:type="dxa"/>
            <w:tcBorders>
              <w:top w:val="single" w:sz="6" w:space="0" w:color="003399"/>
              <w:left w:val="single" w:sz="6" w:space="0" w:color="003399"/>
              <w:bottom w:val="single" w:sz="6" w:space="0" w:color="003399"/>
              <w:right w:val="single" w:sz="6" w:space="0" w:color="003399"/>
            </w:tcBorders>
            <w:shd w:val="clear" w:color="auto" w:fill="FFFFCC"/>
            <w:vAlign w:val="center"/>
          </w:tcPr>
          <w:p w:rsidR="000556F2" w:rsidRDefault="000556F2" w:rsidP="00CA0306">
            <w:pPr>
              <w:jc w:val="center"/>
              <w:rPr>
                <w:rFonts w:ascii="Verdana" w:eastAsia="Verdana" w:hAnsi="Verdana" w:cs="Verdana"/>
                <w:color w:val="3366CC"/>
                <w:sz w:val="19"/>
                <w:szCs w:val="19"/>
              </w:rPr>
            </w:pPr>
            <w:r>
              <w:rPr>
                <w:rFonts w:ascii="Verdana" w:eastAsia="Verdana" w:hAnsi="Verdana" w:cs="Verdana"/>
                <w:b/>
                <w:color w:val="3366CC"/>
                <w:sz w:val="19"/>
                <w:szCs w:val="19"/>
              </w:rPr>
              <w:t>Performance/Outcome Goals</w:t>
            </w:r>
          </w:p>
        </w:tc>
        <w:tc>
          <w:tcPr>
            <w:tcW w:w="1525" w:type="dxa"/>
            <w:tcBorders>
              <w:top w:val="single" w:sz="6" w:space="0" w:color="003399"/>
              <w:left w:val="single" w:sz="6" w:space="0" w:color="003399"/>
              <w:bottom w:val="single" w:sz="6" w:space="0" w:color="003399"/>
              <w:right w:val="single" w:sz="6" w:space="0" w:color="003399"/>
            </w:tcBorders>
            <w:shd w:val="clear" w:color="auto" w:fill="FFFFCC"/>
            <w:vAlign w:val="center"/>
          </w:tcPr>
          <w:p w:rsidR="000556F2" w:rsidRDefault="000556F2" w:rsidP="00CA0306">
            <w:pPr>
              <w:jc w:val="center"/>
              <w:rPr>
                <w:rFonts w:ascii="Verdana" w:eastAsia="Verdana" w:hAnsi="Verdana" w:cs="Verdana"/>
                <w:color w:val="3366CC"/>
                <w:sz w:val="19"/>
                <w:szCs w:val="19"/>
              </w:rPr>
            </w:pPr>
            <w:r>
              <w:rPr>
                <w:rFonts w:ascii="Verdana" w:eastAsia="Verdana" w:hAnsi="Verdana" w:cs="Verdana"/>
                <w:b/>
                <w:color w:val="3366CC"/>
                <w:sz w:val="19"/>
                <w:szCs w:val="19"/>
              </w:rPr>
              <w:t>Baseline FY 2021</w:t>
            </w:r>
          </w:p>
        </w:tc>
        <w:tc>
          <w:tcPr>
            <w:tcW w:w="1084" w:type="dxa"/>
            <w:tcBorders>
              <w:top w:val="single" w:sz="6" w:space="0" w:color="003399"/>
              <w:left w:val="single" w:sz="6" w:space="0" w:color="003399"/>
              <w:bottom w:val="single" w:sz="6" w:space="0" w:color="003399"/>
              <w:right w:val="single" w:sz="6" w:space="0" w:color="003399"/>
            </w:tcBorders>
            <w:shd w:val="clear" w:color="auto" w:fill="FFFFCC"/>
            <w:vAlign w:val="center"/>
          </w:tcPr>
          <w:p w:rsidR="000556F2" w:rsidRDefault="000556F2" w:rsidP="00CA0306">
            <w:pPr>
              <w:jc w:val="center"/>
              <w:rPr>
                <w:rFonts w:ascii="Verdana" w:eastAsia="Verdana" w:hAnsi="Verdana" w:cs="Verdana"/>
                <w:color w:val="3366CC"/>
                <w:sz w:val="19"/>
                <w:szCs w:val="19"/>
              </w:rPr>
            </w:pPr>
            <w:r>
              <w:rPr>
                <w:rFonts w:ascii="Verdana" w:eastAsia="Verdana" w:hAnsi="Verdana" w:cs="Verdana"/>
                <w:b/>
                <w:color w:val="3366CC"/>
                <w:sz w:val="19"/>
                <w:szCs w:val="19"/>
              </w:rPr>
              <w:t>Target Date</w:t>
            </w:r>
          </w:p>
        </w:tc>
        <w:tc>
          <w:tcPr>
            <w:tcW w:w="1480" w:type="dxa"/>
            <w:tcBorders>
              <w:top w:val="single" w:sz="6" w:space="0" w:color="003399"/>
              <w:left w:val="single" w:sz="6" w:space="0" w:color="003399"/>
              <w:bottom w:val="single" w:sz="6" w:space="0" w:color="003399"/>
              <w:right w:val="single" w:sz="6" w:space="0" w:color="003399"/>
            </w:tcBorders>
            <w:shd w:val="clear" w:color="auto" w:fill="FFFFCC"/>
            <w:vAlign w:val="center"/>
          </w:tcPr>
          <w:p w:rsidR="000556F2" w:rsidRDefault="000556F2" w:rsidP="00CA0306">
            <w:pPr>
              <w:jc w:val="center"/>
              <w:rPr>
                <w:rFonts w:ascii="Verdana" w:eastAsia="Verdana" w:hAnsi="Verdana" w:cs="Verdana"/>
                <w:color w:val="3366CC"/>
                <w:sz w:val="19"/>
                <w:szCs w:val="19"/>
              </w:rPr>
            </w:pPr>
            <w:r>
              <w:rPr>
                <w:rFonts w:ascii="Verdana" w:eastAsia="Verdana" w:hAnsi="Verdana" w:cs="Verdana"/>
                <w:b/>
                <w:color w:val="3366CC"/>
                <w:sz w:val="19"/>
                <w:szCs w:val="19"/>
              </w:rPr>
              <w:t>Target Amount</w:t>
            </w:r>
          </w:p>
        </w:tc>
      </w:tr>
      <w:tr w:rsidR="000556F2" w:rsidTr="00CA0306">
        <w:tc>
          <w:tcPr>
            <w:tcW w:w="5226" w:type="dxa"/>
            <w:tcBorders>
              <w:top w:val="single" w:sz="6" w:space="0" w:color="003399"/>
              <w:left w:val="single" w:sz="6" w:space="0" w:color="003399"/>
              <w:bottom w:val="single" w:sz="6" w:space="0" w:color="003399"/>
              <w:right w:val="single" w:sz="6" w:space="0" w:color="003399"/>
            </w:tcBorders>
          </w:tcPr>
          <w:p w:rsidR="000556F2" w:rsidRDefault="000556F2" w:rsidP="00CA0306">
            <w:pPr>
              <w:spacing w:before="100" w:after="100"/>
              <w:rPr>
                <w:rFonts w:ascii="Verdana" w:eastAsia="Verdana" w:hAnsi="Verdana" w:cs="Verdana"/>
                <w:color w:val="3366CC"/>
                <w:sz w:val="19"/>
                <w:szCs w:val="19"/>
              </w:rPr>
            </w:pPr>
            <w:r>
              <w:rPr>
                <w:rFonts w:ascii="Verdana" w:eastAsia="Verdana" w:hAnsi="Verdana" w:cs="Verdana"/>
                <w:color w:val="3366CC"/>
                <w:sz w:val="19"/>
                <w:szCs w:val="19"/>
              </w:rPr>
              <w:lastRenderedPageBreak/>
              <w:t>1. Percent of fatalities and catastrophes inspections initiated within one working day of notification.</w:t>
            </w:r>
          </w:p>
        </w:tc>
        <w:tc>
          <w:tcPr>
            <w:tcW w:w="1525" w:type="dxa"/>
            <w:tcBorders>
              <w:top w:val="single" w:sz="6" w:space="0" w:color="003399"/>
              <w:left w:val="single" w:sz="6" w:space="0" w:color="003399"/>
              <w:bottom w:val="single" w:sz="6" w:space="0" w:color="003399"/>
              <w:right w:val="single" w:sz="6" w:space="0" w:color="003399"/>
            </w:tcBorders>
          </w:tcPr>
          <w:p w:rsidR="000556F2" w:rsidRDefault="000556F2" w:rsidP="00CA0306">
            <w:pPr>
              <w:jc w:val="center"/>
              <w:rPr>
                <w:rFonts w:ascii="Verdana" w:eastAsia="Verdana" w:hAnsi="Verdana" w:cs="Verdana"/>
                <w:color w:val="3366CC"/>
                <w:sz w:val="19"/>
                <w:szCs w:val="19"/>
              </w:rPr>
            </w:pPr>
            <w:r>
              <w:rPr>
                <w:rFonts w:ascii="Verdana" w:eastAsia="Verdana" w:hAnsi="Verdana" w:cs="Verdana"/>
                <w:color w:val="3366CC"/>
                <w:sz w:val="19"/>
                <w:szCs w:val="19"/>
              </w:rPr>
              <w:t>85%*</w:t>
            </w:r>
          </w:p>
        </w:tc>
        <w:tc>
          <w:tcPr>
            <w:tcW w:w="1084" w:type="dxa"/>
            <w:tcBorders>
              <w:top w:val="single" w:sz="6" w:space="0" w:color="003399"/>
              <w:left w:val="single" w:sz="6" w:space="0" w:color="003399"/>
              <w:bottom w:val="single" w:sz="6" w:space="0" w:color="003399"/>
              <w:right w:val="single" w:sz="6" w:space="0" w:color="003399"/>
            </w:tcBorders>
          </w:tcPr>
          <w:p w:rsidR="000556F2" w:rsidRDefault="000556F2" w:rsidP="00CA0306">
            <w:pPr>
              <w:jc w:val="center"/>
              <w:rPr>
                <w:rFonts w:ascii="Verdana" w:eastAsia="Verdana" w:hAnsi="Verdana" w:cs="Verdana"/>
                <w:color w:val="3366CC"/>
                <w:sz w:val="19"/>
                <w:szCs w:val="19"/>
              </w:rPr>
            </w:pPr>
            <w:r>
              <w:rPr>
                <w:rFonts w:ascii="Verdana" w:eastAsia="Verdana" w:hAnsi="Verdana" w:cs="Verdana"/>
                <w:color w:val="3366CC"/>
                <w:sz w:val="19"/>
                <w:szCs w:val="19"/>
              </w:rPr>
              <w:t>Annual</w:t>
            </w:r>
          </w:p>
        </w:tc>
        <w:tc>
          <w:tcPr>
            <w:tcW w:w="1480" w:type="dxa"/>
            <w:tcBorders>
              <w:top w:val="single" w:sz="6" w:space="0" w:color="003399"/>
              <w:left w:val="single" w:sz="6" w:space="0" w:color="003399"/>
              <w:bottom w:val="single" w:sz="6" w:space="0" w:color="003399"/>
              <w:right w:val="single" w:sz="6" w:space="0" w:color="003399"/>
            </w:tcBorders>
          </w:tcPr>
          <w:p w:rsidR="000556F2" w:rsidRDefault="000556F2" w:rsidP="00CA0306">
            <w:pPr>
              <w:jc w:val="center"/>
              <w:rPr>
                <w:rFonts w:ascii="Verdana" w:eastAsia="Verdana" w:hAnsi="Verdana" w:cs="Verdana"/>
                <w:color w:val="3366CC"/>
                <w:sz w:val="19"/>
                <w:szCs w:val="19"/>
              </w:rPr>
            </w:pPr>
            <w:r>
              <w:rPr>
                <w:rFonts w:ascii="Verdana" w:eastAsia="Verdana" w:hAnsi="Verdana" w:cs="Verdana"/>
                <w:color w:val="3366CC"/>
                <w:sz w:val="19"/>
                <w:szCs w:val="19"/>
              </w:rPr>
              <w:t>100%</w:t>
            </w:r>
          </w:p>
        </w:tc>
      </w:tr>
      <w:tr w:rsidR="000556F2" w:rsidTr="00CA0306">
        <w:tc>
          <w:tcPr>
            <w:tcW w:w="5226" w:type="dxa"/>
            <w:tcBorders>
              <w:top w:val="single" w:sz="6" w:space="0" w:color="003399"/>
              <w:left w:val="single" w:sz="6" w:space="0" w:color="003399"/>
              <w:bottom w:val="single" w:sz="6" w:space="0" w:color="003399"/>
              <w:right w:val="single" w:sz="6" w:space="0" w:color="003399"/>
            </w:tcBorders>
          </w:tcPr>
          <w:p w:rsidR="000556F2" w:rsidRDefault="000556F2" w:rsidP="00CA0306">
            <w:pPr>
              <w:spacing w:before="100" w:after="100"/>
              <w:rPr>
                <w:rFonts w:ascii="Verdana" w:eastAsia="Verdana" w:hAnsi="Verdana" w:cs="Verdana"/>
                <w:color w:val="3366CC"/>
                <w:sz w:val="19"/>
                <w:szCs w:val="19"/>
              </w:rPr>
            </w:pPr>
            <w:r>
              <w:rPr>
                <w:rFonts w:ascii="Verdana" w:eastAsia="Verdana" w:hAnsi="Verdana" w:cs="Verdana"/>
                <w:color w:val="3366CC"/>
                <w:sz w:val="19"/>
                <w:szCs w:val="19"/>
              </w:rPr>
              <w:t>2. Time to initiate a fully received serious complaint inspection.</w:t>
            </w:r>
          </w:p>
        </w:tc>
        <w:tc>
          <w:tcPr>
            <w:tcW w:w="1525" w:type="dxa"/>
            <w:tcBorders>
              <w:top w:val="single" w:sz="6" w:space="0" w:color="003399"/>
              <w:left w:val="single" w:sz="6" w:space="0" w:color="003399"/>
              <w:bottom w:val="single" w:sz="6" w:space="0" w:color="003399"/>
              <w:right w:val="single" w:sz="6" w:space="0" w:color="003399"/>
            </w:tcBorders>
          </w:tcPr>
          <w:p w:rsidR="000556F2" w:rsidRDefault="000556F2" w:rsidP="00CA0306">
            <w:pPr>
              <w:jc w:val="center"/>
              <w:rPr>
                <w:rFonts w:ascii="Verdana" w:eastAsia="Verdana" w:hAnsi="Verdana" w:cs="Verdana"/>
                <w:color w:val="3366CC"/>
                <w:sz w:val="19"/>
                <w:szCs w:val="19"/>
              </w:rPr>
            </w:pPr>
            <w:r>
              <w:rPr>
                <w:rFonts w:ascii="Verdana" w:eastAsia="Verdana" w:hAnsi="Verdana" w:cs="Verdana"/>
                <w:color w:val="3366CC"/>
                <w:sz w:val="19"/>
                <w:szCs w:val="19"/>
              </w:rPr>
              <w:t>3.07 Days</w:t>
            </w:r>
          </w:p>
        </w:tc>
        <w:tc>
          <w:tcPr>
            <w:tcW w:w="1084" w:type="dxa"/>
            <w:tcBorders>
              <w:top w:val="single" w:sz="6" w:space="0" w:color="003399"/>
              <w:left w:val="single" w:sz="6" w:space="0" w:color="003399"/>
              <w:bottom w:val="single" w:sz="6" w:space="0" w:color="003399"/>
              <w:right w:val="single" w:sz="6" w:space="0" w:color="003399"/>
            </w:tcBorders>
          </w:tcPr>
          <w:p w:rsidR="000556F2" w:rsidRDefault="000556F2" w:rsidP="00CA0306">
            <w:pPr>
              <w:jc w:val="center"/>
              <w:rPr>
                <w:rFonts w:ascii="Verdana" w:eastAsia="Verdana" w:hAnsi="Verdana" w:cs="Verdana"/>
                <w:color w:val="3366CC"/>
                <w:sz w:val="19"/>
                <w:szCs w:val="19"/>
              </w:rPr>
            </w:pPr>
            <w:r>
              <w:rPr>
                <w:rFonts w:ascii="Verdana" w:eastAsia="Verdana" w:hAnsi="Verdana" w:cs="Verdana"/>
                <w:color w:val="3366CC"/>
                <w:sz w:val="19"/>
                <w:szCs w:val="19"/>
              </w:rPr>
              <w:t>Annual</w:t>
            </w:r>
          </w:p>
        </w:tc>
        <w:tc>
          <w:tcPr>
            <w:tcW w:w="1480" w:type="dxa"/>
            <w:tcBorders>
              <w:top w:val="single" w:sz="6" w:space="0" w:color="003399"/>
              <w:left w:val="single" w:sz="6" w:space="0" w:color="003399"/>
              <w:bottom w:val="single" w:sz="6" w:space="0" w:color="003399"/>
              <w:right w:val="single" w:sz="6" w:space="0" w:color="003399"/>
            </w:tcBorders>
          </w:tcPr>
          <w:p w:rsidR="000556F2" w:rsidRDefault="000556F2" w:rsidP="00CA0306">
            <w:pPr>
              <w:jc w:val="center"/>
              <w:rPr>
                <w:rFonts w:ascii="Verdana" w:eastAsia="Verdana" w:hAnsi="Verdana" w:cs="Verdana"/>
                <w:color w:val="3366CC"/>
                <w:sz w:val="19"/>
                <w:szCs w:val="19"/>
              </w:rPr>
            </w:pPr>
            <w:r>
              <w:rPr>
                <w:rFonts w:ascii="Verdana" w:eastAsia="Verdana" w:hAnsi="Verdana" w:cs="Verdana"/>
                <w:color w:val="3366CC"/>
                <w:sz w:val="19"/>
                <w:szCs w:val="19"/>
              </w:rPr>
              <w:t>5.0 Days</w:t>
            </w:r>
          </w:p>
        </w:tc>
      </w:tr>
      <w:tr w:rsidR="000556F2" w:rsidTr="00CA0306">
        <w:tc>
          <w:tcPr>
            <w:tcW w:w="5226" w:type="dxa"/>
            <w:tcBorders>
              <w:top w:val="single" w:sz="6" w:space="0" w:color="003399"/>
              <w:left w:val="single" w:sz="6" w:space="0" w:color="003399"/>
              <w:bottom w:val="single" w:sz="6" w:space="0" w:color="003399"/>
              <w:right w:val="single" w:sz="6" w:space="0" w:color="003399"/>
            </w:tcBorders>
          </w:tcPr>
          <w:p w:rsidR="000556F2" w:rsidRDefault="000556F2" w:rsidP="00CA0306">
            <w:pPr>
              <w:spacing w:before="100" w:after="100"/>
              <w:rPr>
                <w:rFonts w:ascii="Verdana" w:eastAsia="Verdana" w:hAnsi="Verdana" w:cs="Verdana"/>
                <w:color w:val="3366CC"/>
                <w:sz w:val="19"/>
                <w:szCs w:val="19"/>
              </w:rPr>
            </w:pPr>
            <w:r>
              <w:rPr>
                <w:rFonts w:ascii="Verdana" w:eastAsia="Verdana" w:hAnsi="Verdana" w:cs="Verdana"/>
                <w:color w:val="3366CC"/>
                <w:sz w:val="19"/>
                <w:szCs w:val="19"/>
              </w:rPr>
              <w:t>3. Percent of discrimination complaint investigations completed within 90 working days.</w:t>
            </w:r>
          </w:p>
        </w:tc>
        <w:tc>
          <w:tcPr>
            <w:tcW w:w="1525" w:type="dxa"/>
            <w:tcBorders>
              <w:top w:val="single" w:sz="6" w:space="0" w:color="003399"/>
              <w:left w:val="single" w:sz="6" w:space="0" w:color="003399"/>
              <w:bottom w:val="single" w:sz="6" w:space="0" w:color="003399"/>
              <w:right w:val="single" w:sz="6" w:space="0" w:color="003399"/>
            </w:tcBorders>
          </w:tcPr>
          <w:p w:rsidR="000556F2" w:rsidRDefault="000556F2" w:rsidP="00CA0306">
            <w:pPr>
              <w:jc w:val="center"/>
              <w:rPr>
                <w:rFonts w:ascii="Verdana" w:eastAsia="Verdana" w:hAnsi="Verdana" w:cs="Verdana"/>
                <w:color w:val="3366CC"/>
                <w:sz w:val="19"/>
                <w:szCs w:val="19"/>
              </w:rPr>
            </w:pPr>
            <w:r>
              <w:rPr>
                <w:rFonts w:ascii="Verdana" w:eastAsia="Verdana" w:hAnsi="Verdana" w:cs="Verdana"/>
                <w:color w:val="3366CC"/>
                <w:sz w:val="19"/>
                <w:szCs w:val="19"/>
              </w:rPr>
              <w:t>43%</w:t>
            </w:r>
          </w:p>
        </w:tc>
        <w:tc>
          <w:tcPr>
            <w:tcW w:w="1084" w:type="dxa"/>
            <w:tcBorders>
              <w:top w:val="single" w:sz="6" w:space="0" w:color="003399"/>
              <w:left w:val="single" w:sz="6" w:space="0" w:color="003399"/>
              <w:bottom w:val="single" w:sz="6" w:space="0" w:color="003399"/>
              <w:right w:val="single" w:sz="6" w:space="0" w:color="003399"/>
            </w:tcBorders>
          </w:tcPr>
          <w:p w:rsidR="000556F2" w:rsidRDefault="000556F2" w:rsidP="00CA0306">
            <w:pPr>
              <w:jc w:val="center"/>
              <w:rPr>
                <w:rFonts w:ascii="Verdana" w:eastAsia="Verdana" w:hAnsi="Verdana" w:cs="Verdana"/>
                <w:color w:val="3366CC"/>
                <w:sz w:val="19"/>
                <w:szCs w:val="19"/>
              </w:rPr>
            </w:pPr>
            <w:r>
              <w:rPr>
                <w:rFonts w:ascii="Verdana" w:eastAsia="Verdana" w:hAnsi="Verdana" w:cs="Verdana"/>
                <w:color w:val="3366CC"/>
                <w:sz w:val="19"/>
                <w:szCs w:val="19"/>
              </w:rPr>
              <w:t>Annual</w:t>
            </w:r>
          </w:p>
        </w:tc>
        <w:tc>
          <w:tcPr>
            <w:tcW w:w="1480" w:type="dxa"/>
            <w:tcBorders>
              <w:top w:val="single" w:sz="6" w:space="0" w:color="003399"/>
              <w:left w:val="single" w:sz="6" w:space="0" w:color="003399"/>
              <w:bottom w:val="single" w:sz="6" w:space="0" w:color="003399"/>
              <w:right w:val="single" w:sz="6" w:space="0" w:color="003399"/>
            </w:tcBorders>
          </w:tcPr>
          <w:p w:rsidR="000556F2" w:rsidRDefault="000556F2" w:rsidP="00CA0306">
            <w:pPr>
              <w:jc w:val="center"/>
              <w:rPr>
                <w:rFonts w:ascii="Verdana" w:eastAsia="Verdana" w:hAnsi="Verdana" w:cs="Verdana"/>
                <w:color w:val="3366CC"/>
                <w:sz w:val="19"/>
                <w:szCs w:val="19"/>
              </w:rPr>
            </w:pPr>
            <w:r>
              <w:rPr>
                <w:rFonts w:ascii="Verdana" w:eastAsia="Verdana" w:hAnsi="Verdana" w:cs="Verdana"/>
                <w:color w:val="3366CC"/>
                <w:sz w:val="19"/>
                <w:szCs w:val="19"/>
              </w:rPr>
              <w:t>90%</w:t>
            </w:r>
          </w:p>
        </w:tc>
      </w:tr>
    </w:tbl>
    <w:p w:rsidR="000556F2" w:rsidRDefault="000556F2" w:rsidP="000556F2">
      <w:pPr>
        <w:widowControl w:val="0"/>
        <w:numPr>
          <w:ilvl w:val="0"/>
          <w:numId w:val="2"/>
        </w:numPr>
        <w:rPr>
          <w:rFonts w:ascii="Verdana" w:eastAsia="Verdana" w:hAnsi="Verdana" w:cs="Verdana"/>
          <w:b/>
          <w:color w:val="3366CC"/>
          <w:sz w:val="19"/>
          <w:szCs w:val="19"/>
        </w:rPr>
      </w:pPr>
      <w:r>
        <w:rPr>
          <w:rFonts w:ascii="Verdana" w:eastAsia="Verdana" w:hAnsi="Verdana" w:cs="Verdana"/>
          <w:b/>
          <w:color w:val="3366CC"/>
          <w:sz w:val="19"/>
          <w:szCs w:val="19"/>
        </w:rPr>
        <w:t>This baseline was adversely affected due to confusion regarding employer reporting fatality information related to Covid-19 related fatalities.</w:t>
      </w:r>
    </w:p>
    <w:p w:rsidR="000556F2" w:rsidRDefault="000556F2" w:rsidP="000556F2">
      <w:pPr>
        <w:widowControl w:val="0"/>
        <w:rPr>
          <w:rFonts w:ascii="Verdana" w:eastAsia="Verdana" w:hAnsi="Verdana" w:cs="Verdana"/>
          <w:b/>
          <w:color w:val="3366CC"/>
          <w:sz w:val="19"/>
          <w:szCs w:val="19"/>
        </w:rPr>
      </w:pPr>
    </w:p>
    <w:p w:rsidR="000556F2" w:rsidRDefault="000556F2" w:rsidP="000556F2">
      <w:pPr>
        <w:widowControl w:val="0"/>
        <w:rPr>
          <w:rFonts w:ascii="Verdana" w:eastAsia="Verdana" w:hAnsi="Verdana" w:cs="Verdana"/>
          <w:b/>
          <w:color w:val="3366CC"/>
          <w:sz w:val="19"/>
          <w:szCs w:val="19"/>
        </w:rPr>
      </w:pPr>
      <w:r>
        <w:rPr>
          <w:rFonts w:ascii="Verdana" w:eastAsia="Verdana" w:hAnsi="Verdana" w:cs="Verdana"/>
          <w:b/>
          <w:color w:val="3366CC"/>
          <w:sz w:val="19"/>
          <w:szCs w:val="19"/>
        </w:rPr>
        <w:t>Strategy 3-1: Initiate inspections of fatalities and catastrophes within one working day of notification in 100% of the cases</w:t>
      </w:r>
    </w:p>
    <w:p w:rsidR="000556F2" w:rsidRDefault="000556F2" w:rsidP="000556F2">
      <w:pPr>
        <w:widowControl w:val="0"/>
        <w:rPr>
          <w:rFonts w:ascii="Verdana" w:eastAsia="Verdana" w:hAnsi="Verdana" w:cs="Verdana"/>
          <w:b/>
          <w:color w:val="3366CC"/>
          <w:sz w:val="19"/>
          <w:szCs w:val="19"/>
          <w:highlight w:val="yellow"/>
        </w:rPr>
      </w:pPr>
    </w:p>
    <w:p w:rsidR="000556F2" w:rsidRDefault="000556F2" w:rsidP="000556F2">
      <w:pPr>
        <w:widowControl w:val="0"/>
        <w:rPr>
          <w:rFonts w:ascii="Verdana" w:eastAsia="Verdana" w:hAnsi="Verdana" w:cs="Verdana"/>
          <w:b/>
          <w:color w:val="3366CC"/>
          <w:sz w:val="19"/>
          <w:szCs w:val="19"/>
        </w:rPr>
      </w:pPr>
      <w:r>
        <w:rPr>
          <w:rFonts w:ascii="Verdana" w:eastAsia="Verdana" w:hAnsi="Verdana" w:cs="Verdana"/>
          <w:b/>
          <w:color w:val="3366CC"/>
          <w:sz w:val="19"/>
          <w:szCs w:val="19"/>
        </w:rPr>
        <w:t>Strategy 3-2: Initiate inspections of fully received serious complaints within five working days of notification</w:t>
      </w:r>
    </w:p>
    <w:p w:rsidR="000556F2" w:rsidRDefault="000556F2" w:rsidP="000556F2">
      <w:pPr>
        <w:widowControl w:val="0"/>
        <w:rPr>
          <w:rFonts w:ascii="Verdana" w:eastAsia="Verdana" w:hAnsi="Verdana" w:cs="Verdana"/>
          <w:b/>
          <w:color w:val="3366CC"/>
          <w:sz w:val="19"/>
          <w:szCs w:val="19"/>
        </w:rPr>
      </w:pPr>
    </w:p>
    <w:p w:rsidR="000556F2" w:rsidRDefault="000556F2" w:rsidP="000556F2">
      <w:pPr>
        <w:widowControl w:val="0"/>
        <w:rPr>
          <w:rFonts w:ascii="Verdana" w:eastAsia="Verdana" w:hAnsi="Verdana" w:cs="Verdana"/>
          <w:color w:val="3366CC"/>
          <w:sz w:val="19"/>
          <w:szCs w:val="19"/>
        </w:rPr>
      </w:pPr>
      <w:r>
        <w:rPr>
          <w:rFonts w:ascii="Verdana" w:eastAsia="Verdana" w:hAnsi="Verdana" w:cs="Verdana"/>
          <w:b/>
          <w:color w:val="3366CC"/>
          <w:sz w:val="19"/>
          <w:szCs w:val="19"/>
        </w:rPr>
        <w:t>Strategy 3-3: Complete 90% of all discrimination complaints within 90 working days of opening</w:t>
      </w:r>
    </w:p>
    <w:p w:rsidR="000556F2" w:rsidRDefault="000556F2" w:rsidP="000556F2">
      <w:pPr>
        <w:widowControl w:val="0"/>
        <w:rPr>
          <w:rFonts w:ascii="Verdana" w:eastAsia="Verdana" w:hAnsi="Verdana" w:cs="Verdana"/>
          <w:b/>
          <w:color w:val="3366CC"/>
          <w:sz w:val="19"/>
          <w:szCs w:val="19"/>
          <w:highlight w:val="yellow"/>
        </w:rPr>
      </w:pPr>
    </w:p>
    <w:p w:rsidR="000556F2" w:rsidRDefault="000556F2" w:rsidP="000556F2">
      <w:pPr>
        <w:widowControl w:val="0"/>
        <w:jc w:val="both"/>
        <w:rPr>
          <w:color w:val="3366CC"/>
        </w:rPr>
      </w:pPr>
      <w:r>
        <w:br w:type="page"/>
      </w:r>
    </w:p>
    <w:p w:rsidR="000556F2" w:rsidRDefault="000556F2" w:rsidP="000556F2">
      <w:pPr>
        <w:widowControl w:val="0"/>
        <w:jc w:val="both"/>
        <w:rPr>
          <w:color w:val="3366CC"/>
        </w:rPr>
      </w:pPr>
      <w:r>
        <w:rPr>
          <w:b/>
          <w:color w:val="3366CC"/>
        </w:rPr>
        <w:lastRenderedPageBreak/>
        <w:t>APPENDIX – STRATEGIC PLAN SUMMARY CHART</w:t>
      </w:r>
    </w:p>
    <w:p w:rsidR="000556F2" w:rsidRDefault="000556F2" w:rsidP="000556F2">
      <w:pPr>
        <w:widowControl w:val="0"/>
        <w:rPr>
          <w:color w:val="3366CC"/>
        </w:rPr>
      </w:pPr>
    </w:p>
    <w:tbl>
      <w:tblPr>
        <w:tblW w:w="95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8"/>
        <w:gridCol w:w="6344"/>
      </w:tblGrid>
      <w:tr w:rsidR="000556F2" w:rsidTr="00CA0306">
        <w:trPr>
          <w:trHeight w:val="540"/>
        </w:trPr>
        <w:tc>
          <w:tcPr>
            <w:tcW w:w="9542" w:type="dxa"/>
            <w:gridSpan w:val="2"/>
          </w:tcPr>
          <w:p w:rsidR="000556F2" w:rsidRDefault="000556F2" w:rsidP="00CA0306">
            <w:pPr>
              <w:rPr>
                <w:color w:val="3366CC"/>
              </w:rPr>
            </w:pPr>
            <w:r>
              <w:rPr>
                <w:b/>
                <w:color w:val="3366CC"/>
              </w:rPr>
              <w:t xml:space="preserve">Strategic Goal 1 – </w:t>
            </w:r>
            <w:r>
              <w:rPr>
                <w:color w:val="3366CC"/>
              </w:rPr>
              <w:t>Improve workplace safety and health through compliance assistance and enforcement of occupational safety and health regulations</w:t>
            </w:r>
          </w:p>
        </w:tc>
      </w:tr>
      <w:tr w:rsidR="000556F2" w:rsidTr="00CA0306">
        <w:trPr>
          <w:trHeight w:val="260"/>
        </w:trPr>
        <w:tc>
          <w:tcPr>
            <w:tcW w:w="3198" w:type="dxa"/>
          </w:tcPr>
          <w:p w:rsidR="000556F2" w:rsidRDefault="000556F2" w:rsidP="00CA0306">
            <w:pPr>
              <w:rPr>
                <w:color w:val="3366CC"/>
              </w:rPr>
            </w:pPr>
            <w:r>
              <w:rPr>
                <w:color w:val="3366CC"/>
              </w:rPr>
              <w:t>Performance Goal 1.1</w:t>
            </w:r>
          </w:p>
        </w:tc>
        <w:tc>
          <w:tcPr>
            <w:tcW w:w="6344" w:type="dxa"/>
          </w:tcPr>
          <w:p w:rsidR="000556F2" w:rsidRDefault="000556F2" w:rsidP="00CA0306">
            <w:pPr>
              <w:rPr>
                <w:color w:val="3366CC"/>
              </w:rPr>
            </w:pPr>
            <w:r>
              <w:rPr>
                <w:color w:val="3366CC"/>
              </w:rPr>
              <w:t>Reduce the number of fatalities under MOSH jurisdiction by five-percent by 2027.</w:t>
            </w:r>
          </w:p>
        </w:tc>
      </w:tr>
      <w:tr w:rsidR="000556F2" w:rsidTr="00CA0306">
        <w:trPr>
          <w:trHeight w:val="260"/>
        </w:trPr>
        <w:tc>
          <w:tcPr>
            <w:tcW w:w="3198" w:type="dxa"/>
          </w:tcPr>
          <w:p w:rsidR="000556F2" w:rsidRDefault="000556F2" w:rsidP="00CA0306">
            <w:pPr>
              <w:rPr>
                <w:color w:val="3366CC"/>
              </w:rPr>
            </w:pPr>
            <w:r>
              <w:rPr>
                <w:color w:val="3366CC"/>
              </w:rPr>
              <w:t>Indicator</w:t>
            </w:r>
          </w:p>
        </w:tc>
        <w:tc>
          <w:tcPr>
            <w:tcW w:w="6344" w:type="dxa"/>
          </w:tcPr>
          <w:p w:rsidR="000556F2" w:rsidRDefault="000556F2" w:rsidP="00CA0306">
            <w:pPr>
              <w:rPr>
                <w:color w:val="3366CC"/>
              </w:rPr>
            </w:pPr>
            <w:r>
              <w:rPr>
                <w:color w:val="3366CC"/>
              </w:rPr>
              <w:t>In-scope fatality average for reference years 2016 through 2020 (22.2).</w:t>
            </w:r>
          </w:p>
        </w:tc>
      </w:tr>
      <w:tr w:rsidR="000556F2" w:rsidTr="00CA0306">
        <w:trPr>
          <w:trHeight w:val="260"/>
        </w:trPr>
        <w:tc>
          <w:tcPr>
            <w:tcW w:w="3198" w:type="dxa"/>
          </w:tcPr>
          <w:p w:rsidR="000556F2" w:rsidRDefault="000556F2" w:rsidP="00CA0306">
            <w:pPr>
              <w:rPr>
                <w:color w:val="3366CC"/>
              </w:rPr>
            </w:pPr>
            <w:r>
              <w:rPr>
                <w:color w:val="3366CC"/>
              </w:rPr>
              <w:t>Data Source</w:t>
            </w:r>
          </w:p>
        </w:tc>
        <w:tc>
          <w:tcPr>
            <w:tcW w:w="6344" w:type="dxa"/>
          </w:tcPr>
          <w:p w:rsidR="000556F2" w:rsidRDefault="000556F2" w:rsidP="00CA0306">
            <w:pPr>
              <w:rPr>
                <w:color w:val="3366CC"/>
              </w:rPr>
            </w:pPr>
            <w:r>
              <w:rPr>
                <w:color w:val="3366CC"/>
              </w:rPr>
              <w:t>MOSH Operations – Fatality Investigation Report</w:t>
            </w:r>
          </w:p>
        </w:tc>
      </w:tr>
    </w:tbl>
    <w:p w:rsidR="000556F2" w:rsidRDefault="000556F2" w:rsidP="000556F2">
      <w:pPr>
        <w:widowControl w:val="0"/>
        <w:rPr>
          <w:color w:val="3366CC"/>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4"/>
        <w:gridCol w:w="6362"/>
      </w:tblGrid>
      <w:tr w:rsidR="000556F2" w:rsidTr="00CA0306">
        <w:tc>
          <w:tcPr>
            <w:tcW w:w="3214" w:type="dxa"/>
          </w:tcPr>
          <w:p w:rsidR="000556F2" w:rsidRDefault="000556F2" w:rsidP="00CA0306">
            <w:pPr>
              <w:rPr>
                <w:color w:val="3366CC"/>
              </w:rPr>
            </w:pPr>
            <w:r>
              <w:rPr>
                <w:color w:val="3366CC"/>
              </w:rPr>
              <w:t>Performance Goal 1.2</w:t>
            </w:r>
          </w:p>
        </w:tc>
        <w:tc>
          <w:tcPr>
            <w:tcW w:w="6362" w:type="dxa"/>
          </w:tcPr>
          <w:p w:rsidR="000556F2" w:rsidRDefault="000556F2" w:rsidP="00CA0306">
            <w:pPr>
              <w:rPr>
                <w:color w:val="3366CC"/>
              </w:rPr>
            </w:pPr>
            <w:r>
              <w:rPr>
                <w:color w:val="3366CC"/>
              </w:rPr>
              <w:t>Reduce the rate of occupational injuries and illnesses in Maryland’s private sector by five-percent by 2027.</w:t>
            </w:r>
          </w:p>
        </w:tc>
      </w:tr>
      <w:tr w:rsidR="000556F2" w:rsidTr="00CA0306">
        <w:tc>
          <w:tcPr>
            <w:tcW w:w="3214" w:type="dxa"/>
          </w:tcPr>
          <w:p w:rsidR="000556F2" w:rsidRDefault="000556F2" w:rsidP="00CA0306">
            <w:pPr>
              <w:rPr>
                <w:color w:val="3366CC"/>
              </w:rPr>
            </w:pPr>
            <w:r>
              <w:rPr>
                <w:color w:val="3366CC"/>
              </w:rPr>
              <w:t>Indicator</w:t>
            </w:r>
          </w:p>
        </w:tc>
        <w:tc>
          <w:tcPr>
            <w:tcW w:w="6362" w:type="dxa"/>
          </w:tcPr>
          <w:p w:rsidR="000556F2" w:rsidRDefault="000556F2" w:rsidP="00CA0306">
            <w:pPr>
              <w:rPr>
                <w:color w:val="3366CC"/>
              </w:rPr>
            </w:pPr>
            <w:r>
              <w:rPr>
                <w:color w:val="3366CC"/>
              </w:rPr>
              <w:t>Top-line private sector total recordable case (TRC) incidence rate averaged over the reference years 2016 through 2020 (2.6).</w:t>
            </w:r>
          </w:p>
        </w:tc>
      </w:tr>
      <w:tr w:rsidR="000556F2" w:rsidTr="00CA0306">
        <w:tc>
          <w:tcPr>
            <w:tcW w:w="3214" w:type="dxa"/>
          </w:tcPr>
          <w:p w:rsidR="000556F2" w:rsidRDefault="000556F2" w:rsidP="00CA0306">
            <w:pPr>
              <w:rPr>
                <w:color w:val="3366CC"/>
              </w:rPr>
            </w:pPr>
            <w:r>
              <w:rPr>
                <w:color w:val="3366CC"/>
              </w:rPr>
              <w:t>Data Source</w:t>
            </w:r>
          </w:p>
        </w:tc>
        <w:tc>
          <w:tcPr>
            <w:tcW w:w="6362" w:type="dxa"/>
          </w:tcPr>
          <w:p w:rsidR="000556F2" w:rsidRDefault="000556F2" w:rsidP="00CA0306">
            <w:pPr>
              <w:rPr>
                <w:color w:val="3366CC"/>
              </w:rPr>
            </w:pPr>
            <w:r>
              <w:rPr>
                <w:color w:val="3366CC"/>
              </w:rPr>
              <w:t>Bureau of Labor Statistics’ Survey of Occupational Injuries and Illnesses (SOII).</w:t>
            </w:r>
          </w:p>
        </w:tc>
      </w:tr>
    </w:tbl>
    <w:p w:rsidR="000556F2" w:rsidRDefault="000556F2" w:rsidP="000556F2">
      <w:pPr>
        <w:widowControl w:val="0"/>
        <w:pBdr>
          <w:top w:val="nil"/>
          <w:left w:val="nil"/>
          <w:bottom w:val="nil"/>
          <w:right w:val="nil"/>
          <w:between w:val="nil"/>
        </w:pBdr>
        <w:spacing w:line="276" w:lineRule="auto"/>
        <w:rPr>
          <w:color w:val="3366CC"/>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6300"/>
      </w:tblGrid>
      <w:tr w:rsidR="000556F2" w:rsidTr="00CA0306">
        <w:tc>
          <w:tcPr>
            <w:tcW w:w="3240" w:type="dxa"/>
          </w:tcPr>
          <w:p w:rsidR="000556F2" w:rsidRDefault="000556F2" w:rsidP="00CA0306">
            <w:pPr>
              <w:rPr>
                <w:color w:val="3366CC"/>
              </w:rPr>
            </w:pPr>
            <w:r>
              <w:rPr>
                <w:color w:val="3366CC"/>
              </w:rPr>
              <w:t>Performance Goal 1.3</w:t>
            </w:r>
          </w:p>
        </w:tc>
        <w:tc>
          <w:tcPr>
            <w:tcW w:w="6300" w:type="dxa"/>
          </w:tcPr>
          <w:p w:rsidR="000556F2" w:rsidRDefault="000556F2" w:rsidP="00CA0306">
            <w:pPr>
              <w:rPr>
                <w:color w:val="3366CC"/>
              </w:rPr>
            </w:pPr>
            <w:r>
              <w:rPr>
                <w:color w:val="3366CC"/>
              </w:rPr>
              <w:t>Reduce the rate of occupational injuries and illnesses in Maryland’s State and local government sector by five-percent by 2027.</w:t>
            </w:r>
          </w:p>
        </w:tc>
      </w:tr>
      <w:tr w:rsidR="000556F2" w:rsidTr="00CA0306">
        <w:tc>
          <w:tcPr>
            <w:tcW w:w="3240" w:type="dxa"/>
          </w:tcPr>
          <w:p w:rsidR="000556F2" w:rsidRDefault="000556F2" w:rsidP="00CA0306">
            <w:pPr>
              <w:rPr>
                <w:color w:val="3366CC"/>
              </w:rPr>
            </w:pPr>
            <w:r>
              <w:rPr>
                <w:color w:val="3366CC"/>
              </w:rPr>
              <w:t>Indicator</w:t>
            </w:r>
          </w:p>
        </w:tc>
        <w:tc>
          <w:tcPr>
            <w:tcW w:w="6300" w:type="dxa"/>
          </w:tcPr>
          <w:p w:rsidR="000556F2" w:rsidRDefault="000556F2" w:rsidP="00CA0306">
            <w:pPr>
              <w:rPr>
                <w:color w:val="3366CC"/>
              </w:rPr>
            </w:pPr>
            <w:r>
              <w:rPr>
                <w:color w:val="3366CC"/>
              </w:rPr>
              <w:t>Top-line public sector total recordable case (TRC) incidence rate averaged over the reference years 2016 through 2020 (5.6).</w:t>
            </w:r>
          </w:p>
        </w:tc>
      </w:tr>
      <w:tr w:rsidR="000556F2" w:rsidTr="00CA0306">
        <w:tc>
          <w:tcPr>
            <w:tcW w:w="3240" w:type="dxa"/>
          </w:tcPr>
          <w:p w:rsidR="000556F2" w:rsidRDefault="000556F2" w:rsidP="00CA0306">
            <w:pPr>
              <w:rPr>
                <w:color w:val="3366CC"/>
              </w:rPr>
            </w:pPr>
            <w:r>
              <w:rPr>
                <w:color w:val="3366CC"/>
              </w:rPr>
              <w:t>Data Source</w:t>
            </w:r>
          </w:p>
        </w:tc>
        <w:tc>
          <w:tcPr>
            <w:tcW w:w="6300" w:type="dxa"/>
          </w:tcPr>
          <w:p w:rsidR="000556F2" w:rsidRDefault="000556F2" w:rsidP="00CA0306">
            <w:pPr>
              <w:rPr>
                <w:color w:val="3366CC"/>
              </w:rPr>
            </w:pPr>
            <w:r>
              <w:rPr>
                <w:color w:val="3366CC"/>
              </w:rPr>
              <w:t>Bureau of Labor Statistics’ Survey of Occupational Injuries and Illnesses (SOII).</w:t>
            </w:r>
          </w:p>
        </w:tc>
      </w:tr>
    </w:tbl>
    <w:p w:rsidR="000556F2" w:rsidRDefault="000556F2" w:rsidP="000556F2">
      <w:pPr>
        <w:widowControl w:val="0"/>
        <w:rPr>
          <w:color w:val="3366CC"/>
        </w:rPr>
      </w:pPr>
    </w:p>
    <w:p w:rsidR="000556F2" w:rsidRDefault="000556F2" w:rsidP="000556F2">
      <w:pPr>
        <w:widowControl w:val="0"/>
        <w:rPr>
          <w:color w:val="3366CC"/>
        </w:rPr>
      </w:pPr>
    </w:p>
    <w:tbl>
      <w:tblPr>
        <w:tblW w:w="95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7"/>
        <w:gridCol w:w="6328"/>
      </w:tblGrid>
      <w:tr w:rsidR="000556F2" w:rsidTr="00CA0306">
        <w:trPr>
          <w:trHeight w:val="860"/>
        </w:trPr>
        <w:tc>
          <w:tcPr>
            <w:tcW w:w="9565" w:type="dxa"/>
            <w:gridSpan w:val="2"/>
          </w:tcPr>
          <w:p w:rsidR="000556F2" w:rsidRDefault="000556F2" w:rsidP="00CA0306">
            <w:pPr>
              <w:rPr>
                <w:color w:val="3366CC"/>
              </w:rPr>
            </w:pPr>
            <w:r>
              <w:rPr>
                <w:b/>
                <w:color w:val="3366CC"/>
              </w:rPr>
              <w:t xml:space="preserve">Strategic Goal 2 – </w:t>
            </w:r>
            <w:r>
              <w:rPr>
                <w:color w:val="3366CC"/>
              </w:rPr>
              <w:t>Promote a safety and health culture through Cooperative Partnerships, Compliance Assistance, On-Site Consultation Programs, Outreach, and Training and Education.</w:t>
            </w:r>
          </w:p>
        </w:tc>
      </w:tr>
      <w:tr w:rsidR="000556F2" w:rsidTr="00CA0306">
        <w:trPr>
          <w:trHeight w:val="560"/>
        </w:trPr>
        <w:tc>
          <w:tcPr>
            <w:tcW w:w="3237" w:type="dxa"/>
          </w:tcPr>
          <w:p w:rsidR="000556F2" w:rsidRDefault="000556F2" w:rsidP="00CA0306">
            <w:pPr>
              <w:rPr>
                <w:color w:val="3366CC"/>
              </w:rPr>
            </w:pPr>
            <w:r>
              <w:rPr>
                <w:color w:val="3366CC"/>
              </w:rPr>
              <w:t>Performance Goal 2.1</w:t>
            </w:r>
          </w:p>
        </w:tc>
        <w:tc>
          <w:tcPr>
            <w:tcW w:w="6328" w:type="dxa"/>
          </w:tcPr>
          <w:p w:rsidR="000556F2" w:rsidRDefault="000556F2" w:rsidP="00CA0306">
            <w:pPr>
              <w:rPr>
                <w:color w:val="3366CC"/>
              </w:rPr>
            </w:pPr>
            <w:r>
              <w:rPr>
                <w:color w:val="3366CC"/>
              </w:rPr>
              <w:t>Increase Recognition Programs from the total agreements of 19 to a 2027 total of 22.</w:t>
            </w:r>
          </w:p>
        </w:tc>
      </w:tr>
      <w:tr w:rsidR="000556F2" w:rsidTr="00CA0306">
        <w:trPr>
          <w:trHeight w:val="280"/>
        </w:trPr>
        <w:tc>
          <w:tcPr>
            <w:tcW w:w="3237" w:type="dxa"/>
          </w:tcPr>
          <w:p w:rsidR="000556F2" w:rsidRDefault="000556F2" w:rsidP="00CA0306">
            <w:pPr>
              <w:rPr>
                <w:color w:val="3366CC"/>
              </w:rPr>
            </w:pPr>
            <w:r>
              <w:rPr>
                <w:color w:val="3366CC"/>
              </w:rPr>
              <w:t>Indicator</w:t>
            </w:r>
          </w:p>
        </w:tc>
        <w:tc>
          <w:tcPr>
            <w:tcW w:w="6328" w:type="dxa"/>
          </w:tcPr>
          <w:p w:rsidR="000556F2" w:rsidRDefault="000556F2" w:rsidP="00CA0306">
            <w:pPr>
              <w:rPr>
                <w:color w:val="3366CC"/>
              </w:rPr>
            </w:pPr>
            <w:r>
              <w:rPr>
                <w:color w:val="3366CC"/>
              </w:rPr>
              <w:t>Number of Recognition Programs</w:t>
            </w:r>
          </w:p>
        </w:tc>
      </w:tr>
      <w:tr w:rsidR="000556F2" w:rsidTr="00CA0306">
        <w:trPr>
          <w:trHeight w:val="280"/>
        </w:trPr>
        <w:tc>
          <w:tcPr>
            <w:tcW w:w="3237" w:type="dxa"/>
          </w:tcPr>
          <w:p w:rsidR="000556F2" w:rsidRDefault="000556F2" w:rsidP="00CA0306">
            <w:pPr>
              <w:rPr>
                <w:color w:val="3366CC"/>
              </w:rPr>
            </w:pPr>
            <w:r>
              <w:rPr>
                <w:color w:val="3366CC"/>
              </w:rPr>
              <w:t>Data Source</w:t>
            </w:r>
          </w:p>
        </w:tc>
        <w:tc>
          <w:tcPr>
            <w:tcW w:w="6328" w:type="dxa"/>
          </w:tcPr>
          <w:p w:rsidR="000556F2" w:rsidRDefault="000556F2" w:rsidP="00CA0306">
            <w:pPr>
              <w:rPr>
                <w:color w:val="3366CC"/>
              </w:rPr>
            </w:pPr>
            <w:r>
              <w:rPr>
                <w:color w:val="3366CC"/>
              </w:rPr>
              <w:t>OIS, Report from Consultation and VPP Units</w:t>
            </w:r>
          </w:p>
        </w:tc>
      </w:tr>
    </w:tbl>
    <w:p w:rsidR="000556F2" w:rsidRDefault="000556F2" w:rsidP="000556F2">
      <w:pPr>
        <w:widowControl w:val="0"/>
        <w:rPr>
          <w:color w:val="3366CC"/>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4"/>
        <w:gridCol w:w="6362"/>
      </w:tblGrid>
      <w:tr w:rsidR="000556F2" w:rsidTr="00CA0306">
        <w:tc>
          <w:tcPr>
            <w:tcW w:w="3214" w:type="dxa"/>
          </w:tcPr>
          <w:p w:rsidR="000556F2" w:rsidRDefault="000556F2" w:rsidP="00CA0306">
            <w:pPr>
              <w:rPr>
                <w:color w:val="3366CC"/>
              </w:rPr>
            </w:pPr>
            <w:r>
              <w:rPr>
                <w:color w:val="3366CC"/>
              </w:rPr>
              <w:t>Performance Goal 2.2</w:t>
            </w:r>
          </w:p>
        </w:tc>
        <w:tc>
          <w:tcPr>
            <w:tcW w:w="6362" w:type="dxa"/>
          </w:tcPr>
          <w:p w:rsidR="000556F2" w:rsidRDefault="000556F2" w:rsidP="00CA0306">
            <w:pPr>
              <w:rPr>
                <w:color w:val="3366CC"/>
              </w:rPr>
            </w:pPr>
            <w:r>
              <w:rPr>
                <w:color w:val="3366CC"/>
              </w:rPr>
              <w:t>Increase Cooperative Partnerships from a total of 96 agreements to a 2027 total of 104.</w:t>
            </w:r>
          </w:p>
        </w:tc>
      </w:tr>
      <w:tr w:rsidR="000556F2" w:rsidTr="00CA0306">
        <w:tc>
          <w:tcPr>
            <w:tcW w:w="3214" w:type="dxa"/>
          </w:tcPr>
          <w:p w:rsidR="000556F2" w:rsidRDefault="000556F2" w:rsidP="00CA0306">
            <w:pPr>
              <w:rPr>
                <w:color w:val="3366CC"/>
              </w:rPr>
            </w:pPr>
            <w:r>
              <w:rPr>
                <w:color w:val="3366CC"/>
              </w:rPr>
              <w:t>Indicator</w:t>
            </w:r>
          </w:p>
        </w:tc>
        <w:tc>
          <w:tcPr>
            <w:tcW w:w="6362" w:type="dxa"/>
          </w:tcPr>
          <w:p w:rsidR="000556F2" w:rsidRDefault="000556F2" w:rsidP="00CA0306">
            <w:pPr>
              <w:rPr>
                <w:color w:val="3366CC"/>
              </w:rPr>
            </w:pPr>
            <w:r>
              <w:rPr>
                <w:color w:val="3366CC"/>
              </w:rPr>
              <w:t>Number of Cooperative Programs</w:t>
            </w:r>
          </w:p>
        </w:tc>
      </w:tr>
      <w:tr w:rsidR="000556F2" w:rsidTr="00CA0306">
        <w:tc>
          <w:tcPr>
            <w:tcW w:w="3214" w:type="dxa"/>
          </w:tcPr>
          <w:p w:rsidR="000556F2" w:rsidRDefault="000556F2" w:rsidP="00CA0306">
            <w:pPr>
              <w:rPr>
                <w:color w:val="3366CC"/>
              </w:rPr>
            </w:pPr>
            <w:r>
              <w:rPr>
                <w:color w:val="3366CC"/>
              </w:rPr>
              <w:t>Data Source</w:t>
            </w:r>
          </w:p>
        </w:tc>
        <w:tc>
          <w:tcPr>
            <w:tcW w:w="6362" w:type="dxa"/>
          </w:tcPr>
          <w:p w:rsidR="000556F2" w:rsidRDefault="000556F2" w:rsidP="00CA0306">
            <w:pPr>
              <w:rPr>
                <w:color w:val="3366CC"/>
              </w:rPr>
            </w:pPr>
            <w:r>
              <w:rPr>
                <w:color w:val="3366CC"/>
              </w:rPr>
              <w:t>OIS, Report from Cooperative Partnership Unit</w:t>
            </w:r>
          </w:p>
        </w:tc>
      </w:tr>
    </w:tbl>
    <w:p w:rsidR="000556F2" w:rsidRDefault="000556F2" w:rsidP="000556F2">
      <w:pPr>
        <w:widowControl w:val="0"/>
        <w:rPr>
          <w:color w:val="3366CC"/>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4"/>
        <w:gridCol w:w="6362"/>
      </w:tblGrid>
      <w:tr w:rsidR="000556F2" w:rsidTr="00CA0306">
        <w:tc>
          <w:tcPr>
            <w:tcW w:w="3214" w:type="dxa"/>
          </w:tcPr>
          <w:p w:rsidR="000556F2" w:rsidRDefault="000556F2" w:rsidP="00CA0306">
            <w:pPr>
              <w:rPr>
                <w:color w:val="3366CC"/>
              </w:rPr>
            </w:pPr>
            <w:r>
              <w:rPr>
                <w:color w:val="3366CC"/>
              </w:rPr>
              <w:t>Performance Goal 2.3</w:t>
            </w:r>
          </w:p>
        </w:tc>
        <w:tc>
          <w:tcPr>
            <w:tcW w:w="6362" w:type="dxa"/>
          </w:tcPr>
          <w:p w:rsidR="000556F2" w:rsidRDefault="000556F2" w:rsidP="00CA0306">
            <w:pPr>
              <w:rPr>
                <w:color w:val="3366CC"/>
              </w:rPr>
            </w:pPr>
            <w:r>
              <w:rPr>
                <w:color w:val="3366CC"/>
              </w:rPr>
              <w:t>Ensure a minimum number of 12 MOSH outreach and training programs (i.e. targeted outreach events, speaker requests and educational seminars)</w:t>
            </w:r>
          </w:p>
        </w:tc>
      </w:tr>
      <w:tr w:rsidR="000556F2" w:rsidTr="00CA0306">
        <w:tc>
          <w:tcPr>
            <w:tcW w:w="3214" w:type="dxa"/>
          </w:tcPr>
          <w:p w:rsidR="000556F2" w:rsidRDefault="000556F2" w:rsidP="00CA0306">
            <w:pPr>
              <w:rPr>
                <w:color w:val="3366CC"/>
              </w:rPr>
            </w:pPr>
            <w:r>
              <w:rPr>
                <w:color w:val="3366CC"/>
              </w:rPr>
              <w:t>Indicator</w:t>
            </w:r>
          </w:p>
        </w:tc>
        <w:tc>
          <w:tcPr>
            <w:tcW w:w="6362" w:type="dxa"/>
          </w:tcPr>
          <w:p w:rsidR="000556F2" w:rsidRDefault="000556F2" w:rsidP="00CA0306">
            <w:pPr>
              <w:rPr>
                <w:color w:val="3366CC"/>
              </w:rPr>
            </w:pPr>
            <w:r>
              <w:rPr>
                <w:color w:val="3366CC"/>
              </w:rPr>
              <w:t>Total number of MOSH outreach and training events held in a federal fiscal year.</w:t>
            </w:r>
          </w:p>
        </w:tc>
      </w:tr>
      <w:tr w:rsidR="000556F2" w:rsidTr="00CA0306">
        <w:tc>
          <w:tcPr>
            <w:tcW w:w="3214" w:type="dxa"/>
          </w:tcPr>
          <w:p w:rsidR="000556F2" w:rsidRDefault="000556F2" w:rsidP="00CA0306">
            <w:pPr>
              <w:rPr>
                <w:color w:val="3366CC"/>
              </w:rPr>
            </w:pPr>
            <w:r>
              <w:rPr>
                <w:color w:val="3366CC"/>
              </w:rPr>
              <w:t>Data Source</w:t>
            </w:r>
          </w:p>
        </w:tc>
        <w:tc>
          <w:tcPr>
            <w:tcW w:w="6362" w:type="dxa"/>
          </w:tcPr>
          <w:p w:rsidR="000556F2" w:rsidRDefault="000556F2" w:rsidP="00CA0306">
            <w:pPr>
              <w:rPr>
                <w:color w:val="3366CC"/>
              </w:rPr>
            </w:pPr>
            <w:r>
              <w:rPr>
                <w:color w:val="3366CC"/>
              </w:rPr>
              <w:t>Report from Training and Education Unit</w:t>
            </w:r>
          </w:p>
        </w:tc>
      </w:tr>
    </w:tbl>
    <w:p w:rsidR="000556F2" w:rsidRDefault="000556F2" w:rsidP="000556F2">
      <w:pPr>
        <w:widowControl w:val="0"/>
        <w:rPr>
          <w:color w:val="3366CC"/>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4"/>
        <w:gridCol w:w="6362"/>
      </w:tblGrid>
      <w:tr w:rsidR="000556F2" w:rsidTr="00CA0306">
        <w:tc>
          <w:tcPr>
            <w:tcW w:w="3214" w:type="dxa"/>
          </w:tcPr>
          <w:p w:rsidR="000556F2" w:rsidRDefault="000556F2" w:rsidP="00CA0306">
            <w:pPr>
              <w:rPr>
                <w:color w:val="3366CC"/>
              </w:rPr>
            </w:pPr>
            <w:r>
              <w:rPr>
                <w:color w:val="3366CC"/>
              </w:rPr>
              <w:t>Performance Goal 2.4</w:t>
            </w:r>
          </w:p>
        </w:tc>
        <w:tc>
          <w:tcPr>
            <w:tcW w:w="6362" w:type="dxa"/>
          </w:tcPr>
          <w:p w:rsidR="000556F2" w:rsidRDefault="000556F2" w:rsidP="00CA0306">
            <w:pPr>
              <w:rPr>
                <w:color w:val="3366CC"/>
              </w:rPr>
            </w:pPr>
            <w:r w:rsidRPr="00847F68">
              <w:rPr>
                <w:color w:val="3366CC"/>
              </w:rPr>
              <w:t>Develop a public sector initiative program to leverage Agency resources in the following areas: MOSH Enforcement, partnerships/alliances, training, and consultation</w:t>
            </w:r>
          </w:p>
        </w:tc>
      </w:tr>
      <w:tr w:rsidR="000556F2" w:rsidTr="00CA0306">
        <w:tc>
          <w:tcPr>
            <w:tcW w:w="3214" w:type="dxa"/>
          </w:tcPr>
          <w:p w:rsidR="000556F2" w:rsidRDefault="000556F2" w:rsidP="00CA0306">
            <w:pPr>
              <w:rPr>
                <w:color w:val="3366CC"/>
              </w:rPr>
            </w:pPr>
            <w:r>
              <w:rPr>
                <w:color w:val="3366CC"/>
              </w:rPr>
              <w:t>Indicator</w:t>
            </w:r>
          </w:p>
        </w:tc>
        <w:tc>
          <w:tcPr>
            <w:tcW w:w="6362" w:type="dxa"/>
          </w:tcPr>
          <w:p w:rsidR="000556F2" w:rsidRDefault="000556F2" w:rsidP="00CA0306">
            <w:pPr>
              <w:rPr>
                <w:color w:val="3366CC"/>
              </w:rPr>
            </w:pPr>
            <w:r>
              <w:rPr>
                <w:color w:val="3366CC"/>
              </w:rPr>
              <w:t>Total number of public sector initiatives enacted and maintained from 2023-2027.</w:t>
            </w:r>
          </w:p>
        </w:tc>
      </w:tr>
      <w:tr w:rsidR="000556F2" w:rsidTr="00CA0306">
        <w:tc>
          <w:tcPr>
            <w:tcW w:w="3214" w:type="dxa"/>
          </w:tcPr>
          <w:p w:rsidR="000556F2" w:rsidRDefault="000556F2" w:rsidP="00CA0306">
            <w:pPr>
              <w:rPr>
                <w:color w:val="3366CC"/>
              </w:rPr>
            </w:pPr>
            <w:r>
              <w:rPr>
                <w:color w:val="3366CC"/>
              </w:rPr>
              <w:lastRenderedPageBreak/>
              <w:t>Data Source</w:t>
            </w:r>
          </w:p>
        </w:tc>
        <w:tc>
          <w:tcPr>
            <w:tcW w:w="6362" w:type="dxa"/>
          </w:tcPr>
          <w:p w:rsidR="000556F2" w:rsidRDefault="000556F2" w:rsidP="00CA0306">
            <w:pPr>
              <w:rPr>
                <w:color w:val="3366CC"/>
              </w:rPr>
            </w:pPr>
            <w:r>
              <w:rPr>
                <w:color w:val="3366CC"/>
              </w:rPr>
              <w:t>Activity reports from each unit.</w:t>
            </w:r>
          </w:p>
        </w:tc>
      </w:tr>
    </w:tbl>
    <w:p w:rsidR="000556F2" w:rsidRDefault="000556F2" w:rsidP="000556F2">
      <w:pPr>
        <w:widowControl w:val="0"/>
        <w:rPr>
          <w:color w:val="3366CC"/>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4"/>
        <w:gridCol w:w="6362"/>
      </w:tblGrid>
      <w:tr w:rsidR="000556F2" w:rsidTr="00CA0306">
        <w:tc>
          <w:tcPr>
            <w:tcW w:w="9576" w:type="dxa"/>
            <w:gridSpan w:val="2"/>
          </w:tcPr>
          <w:p w:rsidR="000556F2" w:rsidRDefault="000556F2" w:rsidP="00CA0306">
            <w:pPr>
              <w:rPr>
                <w:color w:val="3366CC"/>
              </w:rPr>
            </w:pPr>
            <w:r>
              <w:rPr>
                <w:b/>
                <w:color w:val="3366CC"/>
              </w:rPr>
              <w:t xml:space="preserve">Strategic Goal 3 – </w:t>
            </w:r>
            <w:r>
              <w:rPr>
                <w:color w:val="3366CC"/>
              </w:rPr>
              <w:t>Secure public confidence through excellence in the development and delivery of MOSH programs and services, and by providing excellent customer service</w:t>
            </w:r>
          </w:p>
        </w:tc>
      </w:tr>
      <w:tr w:rsidR="000556F2" w:rsidTr="00CA0306">
        <w:tc>
          <w:tcPr>
            <w:tcW w:w="3214" w:type="dxa"/>
          </w:tcPr>
          <w:p w:rsidR="000556F2" w:rsidRDefault="000556F2" w:rsidP="00CA0306">
            <w:pPr>
              <w:rPr>
                <w:color w:val="3366CC"/>
              </w:rPr>
            </w:pPr>
            <w:r>
              <w:rPr>
                <w:color w:val="3366CC"/>
              </w:rPr>
              <w:t>Performance Goal 3.1</w:t>
            </w:r>
          </w:p>
        </w:tc>
        <w:tc>
          <w:tcPr>
            <w:tcW w:w="6362" w:type="dxa"/>
          </w:tcPr>
          <w:p w:rsidR="000556F2" w:rsidRDefault="000556F2" w:rsidP="00CA0306">
            <w:pPr>
              <w:rPr>
                <w:color w:val="3366CC"/>
                <w:highlight w:val="yellow"/>
              </w:rPr>
            </w:pPr>
            <w:bookmarkStart w:id="0" w:name="_heading=h.gjdgxs" w:colFirst="0" w:colLast="0"/>
            <w:bookmarkEnd w:id="0"/>
            <w:r>
              <w:rPr>
                <w:color w:val="3366CC"/>
              </w:rPr>
              <w:t>Initiate 100% of fatality and catastrophe inspections within one working day of notification.</w:t>
            </w:r>
          </w:p>
        </w:tc>
      </w:tr>
      <w:tr w:rsidR="000556F2" w:rsidTr="00CA0306">
        <w:tc>
          <w:tcPr>
            <w:tcW w:w="3214" w:type="dxa"/>
          </w:tcPr>
          <w:p w:rsidR="000556F2" w:rsidRDefault="000556F2" w:rsidP="00CA0306">
            <w:pPr>
              <w:rPr>
                <w:color w:val="3366CC"/>
              </w:rPr>
            </w:pPr>
            <w:r>
              <w:rPr>
                <w:color w:val="3366CC"/>
              </w:rPr>
              <w:t>Indicator</w:t>
            </w:r>
          </w:p>
        </w:tc>
        <w:tc>
          <w:tcPr>
            <w:tcW w:w="6362" w:type="dxa"/>
          </w:tcPr>
          <w:p w:rsidR="000556F2" w:rsidRDefault="000556F2" w:rsidP="00CA0306">
            <w:pPr>
              <w:rPr>
                <w:color w:val="3366CC"/>
              </w:rPr>
            </w:pPr>
            <w:r>
              <w:rPr>
                <w:color w:val="3366CC"/>
              </w:rPr>
              <w:t>Percentage of fatal case investigations initiated within one working day of notification</w:t>
            </w:r>
          </w:p>
        </w:tc>
      </w:tr>
      <w:tr w:rsidR="000556F2" w:rsidTr="00CA0306">
        <w:tc>
          <w:tcPr>
            <w:tcW w:w="3214" w:type="dxa"/>
          </w:tcPr>
          <w:p w:rsidR="000556F2" w:rsidRDefault="000556F2" w:rsidP="00CA0306">
            <w:pPr>
              <w:rPr>
                <w:color w:val="3366CC"/>
              </w:rPr>
            </w:pPr>
            <w:r>
              <w:rPr>
                <w:color w:val="3366CC"/>
              </w:rPr>
              <w:t>Data Source</w:t>
            </w:r>
          </w:p>
        </w:tc>
        <w:tc>
          <w:tcPr>
            <w:tcW w:w="6362" w:type="dxa"/>
          </w:tcPr>
          <w:p w:rsidR="000556F2" w:rsidRDefault="000556F2" w:rsidP="00CA0306">
            <w:pPr>
              <w:rPr>
                <w:color w:val="3366CC"/>
              </w:rPr>
            </w:pPr>
            <w:r>
              <w:rPr>
                <w:color w:val="3366CC"/>
              </w:rPr>
              <w:t>OIS</w:t>
            </w:r>
          </w:p>
        </w:tc>
      </w:tr>
    </w:tbl>
    <w:p w:rsidR="000556F2" w:rsidRDefault="000556F2" w:rsidP="000556F2">
      <w:pPr>
        <w:widowControl w:val="0"/>
        <w:rPr>
          <w:color w:val="3366CC"/>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4"/>
        <w:gridCol w:w="6362"/>
      </w:tblGrid>
      <w:tr w:rsidR="000556F2" w:rsidTr="00CA0306">
        <w:tc>
          <w:tcPr>
            <w:tcW w:w="3214" w:type="dxa"/>
          </w:tcPr>
          <w:p w:rsidR="000556F2" w:rsidRDefault="000556F2" w:rsidP="00CA0306">
            <w:pPr>
              <w:rPr>
                <w:color w:val="3366CC"/>
              </w:rPr>
            </w:pPr>
            <w:r>
              <w:rPr>
                <w:color w:val="3366CC"/>
              </w:rPr>
              <w:t>Performance Goal 3.2</w:t>
            </w:r>
          </w:p>
        </w:tc>
        <w:tc>
          <w:tcPr>
            <w:tcW w:w="6362" w:type="dxa"/>
          </w:tcPr>
          <w:p w:rsidR="000556F2" w:rsidRDefault="000556F2" w:rsidP="00CA0306">
            <w:pPr>
              <w:rPr>
                <w:color w:val="3366CC"/>
                <w:highlight w:val="yellow"/>
              </w:rPr>
            </w:pPr>
            <w:r>
              <w:rPr>
                <w:color w:val="3366CC"/>
              </w:rPr>
              <w:t xml:space="preserve">Initiate an inspection of a fully received serious complaint within an average of 5 working days. </w:t>
            </w:r>
          </w:p>
        </w:tc>
      </w:tr>
      <w:tr w:rsidR="000556F2" w:rsidTr="00CA0306">
        <w:tc>
          <w:tcPr>
            <w:tcW w:w="3214" w:type="dxa"/>
          </w:tcPr>
          <w:p w:rsidR="000556F2" w:rsidRDefault="000556F2" w:rsidP="00CA0306">
            <w:pPr>
              <w:rPr>
                <w:color w:val="3366CC"/>
              </w:rPr>
            </w:pPr>
            <w:r>
              <w:rPr>
                <w:color w:val="3366CC"/>
              </w:rPr>
              <w:t>Indicator</w:t>
            </w:r>
          </w:p>
        </w:tc>
        <w:tc>
          <w:tcPr>
            <w:tcW w:w="6362" w:type="dxa"/>
          </w:tcPr>
          <w:p w:rsidR="000556F2" w:rsidRDefault="000556F2" w:rsidP="00CA0306">
            <w:pPr>
              <w:rPr>
                <w:color w:val="3366CC"/>
              </w:rPr>
            </w:pPr>
            <w:r>
              <w:rPr>
                <w:color w:val="3366CC"/>
              </w:rPr>
              <w:t>Average days to initiate a complaint inspection</w:t>
            </w:r>
          </w:p>
        </w:tc>
      </w:tr>
      <w:tr w:rsidR="000556F2" w:rsidTr="00CA0306">
        <w:tc>
          <w:tcPr>
            <w:tcW w:w="3214" w:type="dxa"/>
          </w:tcPr>
          <w:p w:rsidR="000556F2" w:rsidRDefault="000556F2" w:rsidP="00CA0306">
            <w:pPr>
              <w:rPr>
                <w:color w:val="3366CC"/>
              </w:rPr>
            </w:pPr>
            <w:r>
              <w:rPr>
                <w:color w:val="3366CC"/>
              </w:rPr>
              <w:t>Data Source</w:t>
            </w:r>
          </w:p>
        </w:tc>
        <w:tc>
          <w:tcPr>
            <w:tcW w:w="6362" w:type="dxa"/>
          </w:tcPr>
          <w:p w:rsidR="000556F2" w:rsidRDefault="000556F2" w:rsidP="00CA0306">
            <w:pPr>
              <w:rPr>
                <w:color w:val="3366CC"/>
              </w:rPr>
            </w:pPr>
            <w:r>
              <w:rPr>
                <w:color w:val="3366CC"/>
              </w:rPr>
              <w:t>OIS</w:t>
            </w:r>
          </w:p>
        </w:tc>
      </w:tr>
    </w:tbl>
    <w:p w:rsidR="000556F2" w:rsidRDefault="000556F2" w:rsidP="000556F2">
      <w:pPr>
        <w:widowControl w:val="0"/>
        <w:rPr>
          <w:color w:val="3366CC"/>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4"/>
        <w:gridCol w:w="6362"/>
      </w:tblGrid>
      <w:tr w:rsidR="000556F2" w:rsidTr="00CA0306">
        <w:tc>
          <w:tcPr>
            <w:tcW w:w="3214" w:type="dxa"/>
          </w:tcPr>
          <w:p w:rsidR="000556F2" w:rsidRDefault="000556F2" w:rsidP="00CA0306">
            <w:pPr>
              <w:rPr>
                <w:color w:val="3366CC"/>
              </w:rPr>
            </w:pPr>
            <w:r>
              <w:rPr>
                <w:color w:val="3366CC"/>
              </w:rPr>
              <w:t>Performance Goal 3.3</w:t>
            </w:r>
          </w:p>
        </w:tc>
        <w:tc>
          <w:tcPr>
            <w:tcW w:w="6362" w:type="dxa"/>
          </w:tcPr>
          <w:p w:rsidR="000556F2" w:rsidRDefault="000556F2" w:rsidP="00CA0306">
            <w:pPr>
              <w:rPr>
                <w:color w:val="3366CC"/>
                <w:highlight w:val="yellow"/>
              </w:rPr>
            </w:pPr>
            <w:r>
              <w:rPr>
                <w:color w:val="3366CC"/>
              </w:rPr>
              <w:t xml:space="preserve">Complete 90% of discrimination complaint investigations within 90 days of complaint filing. </w:t>
            </w:r>
          </w:p>
        </w:tc>
      </w:tr>
      <w:tr w:rsidR="000556F2" w:rsidTr="00CA0306">
        <w:tc>
          <w:tcPr>
            <w:tcW w:w="3214" w:type="dxa"/>
          </w:tcPr>
          <w:p w:rsidR="000556F2" w:rsidRDefault="000556F2" w:rsidP="00CA0306">
            <w:pPr>
              <w:rPr>
                <w:color w:val="3366CC"/>
              </w:rPr>
            </w:pPr>
            <w:r>
              <w:rPr>
                <w:color w:val="3366CC"/>
              </w:rPr>
              <w:t>Indicator</w:t>
            </w:r>
          </w:p>
        </w:tc>
        <w:tc>
          <w:tcPr>
            <w:tcW w:w="6362" w:type="dxa"/>
          </w:tcPr>
          <w:p w:rsidR="000556F2" w:rsidRDefault="000556F2" w:rsidP="00CA0306">
            <w:pPr>
              <w:rPr>
                <w:color w:val="3366CC"/>
              </w:rPr>
            </w:pPr>
            <w:r>
              <w:rPr>
                <w:color w:val="3366CC"/>
              </w:rPr>
              <w:t>Percentage of discrimination complaint investigations completed within 90 days</w:t>
            </w:r>
          </w:p>
        </w:tc>
      </w:tr>
      <w:tr w:rsidR="000556F2" w:rsidTr="00CA0306">
        <w:tc>
          <w:tcPr>
            <w:tcW w:w="3214" w:type="dxa"/>
          </w:tcPr>
          <w:p w:rsidR="000556F2" w:rsidRDefault="000556F2" w:rsidP="00CA0306">
            <w:pPr>
              <w:rPr>
                <w:color w:val="3366CC"/>
              </w:rPr>
            </w:pPr>
            <w:r>
              <w:rPr>
                <w:color w:val="3366CC"/>
              </w:rPr>
              <w:t>Data Source</w:t>
            </w:r>
          </w:p>
        </w:tc>
        <w:tc>
          <w:tcPr>
            <w:tcW w:w="6362" w:type="dxa"/>
          </w:tcPr>
          <w:p w:rsidR="000556F2" w:rsidRDefault="000556F2" w:rsidP="00CA0306">
            <w:pPr>
              <w:rPr>
                <w:color w:val="3366CC"/>
              </w:rPr>
            </w:pPr>
            <w:r>
              <w:rPr>
                <w:color w:val="3366CC"/>
              </w:rPr>
              <w:t>OIS</w:t>
            </w:r>
          </w:p>
        </w:tc>
      </w:tr>
    </w:tbl>
    <w:p w:rsidR="000556F2" w:rsidRDefault="000556F2" w:rsidP="000556F2"/>
    <w:p w:rsidR="00FD6231" w:rsidRDefault="000556F2">
      <w:bookmarkStart w:id="1" w:name="_GoBack"/>
      <w:bookmarkEnd w:id="1"/>
    </w:p>
    <w:sectPr w:rsidR="00FD6231" w:rsidSect="000556F2">
      <w:pgSz w:w="12240" w:h="15840"/>
      <w:pgMar w:top="720" w:right="1440" w:bottom="288"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mo">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77ED"/>
    <w:multiLevelType w:val="multilevel"/>
    <w:tmpl w:val="130E79C6"/>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1" w15:restartNumberingAfterBreak="0">
    <w:nsid w:val="20132D5F"/>
    <w:multiLevelType w:val="multilevel"/>
    <w:tmpl w:val="A0961464"/>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 w15:restartNumberingAfterBreak="0">
    <w:nsid w:val="2FD77E38"/>
    <w:multiLevelType w:val="multilevel"/>
    <w:tmpl w:val="FBAEF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FE3B66"/>
    <w:multiLevelType w:val="multilevel"/>
    <w:tmpl w:val="09066462"/>
    <w:lvl w:ilvl="0">
      <w:start w:val="1"/>
      <w:numFmt w:val="decimal"/>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77C75907"/>
    <w:multiLevelType w:val="multilevel"/>
    <w:tmpl w:val="5F76B35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F2"/>
    <w:rsid w:val="000556F2"/>
    <w:rsid w:val="004452A1"/>
    <w:rsid w:val="00601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8C1E5-DDCC-4894-AE14-158983A7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6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Herold</dc:creator>
  <cp:keywords/>
  <dc:description/>
  <cp:lastModifiedBy>Kevin Herold</cp:lastModifiedBy>
  <cp:revision>1</cp:revision>
  <dcterms:created xsi:type="dcterms:W3CDTF">2023-07-20T13:47:00Z</dcterms:created>
  <dcterms:modified xsi:type="dcterms:W3CDTF">2023-07-20T13:49:00Z</dcterms:modified>
</cp:coreProperties>
</file>