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7D81" w:rsidRDefault="00B90D8E">
      <w:pPr>
        <w:jc w:val="center"/>
      </w:pPr>
      <w:bookmarkStart w:id="0" w:name="_heading=h.30j0zll" w:colFirst="0" w:colLast="0"/>
      <w:bookmarkEnd w:id="0"/>
      <w:r>
        <w:rPr>
          <w:noProof/>
        </w:rPr>
        <w:drawing>
          <wp:inline distT="0" distB="0" distL="0" distR="0">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14:paraId="00000002" w14:textId="77777777"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14:paraId="00000003" w14:textId="77777777" w:rsidR="008F7D81" w:rsidRDefault="00B90D8E">
      <w:pPr>
        <w:jc w:val="center"/>
        <w:rPr>
          <w:rFonts w:ascii="Arial" w:eastAsia="Arial" w:hAnsi="Arial" w:cs="Arial"/>
          <w:b/>
          <w:i/>
          <w:sz w:val="28"/>
          <w:szCs w:val="28"/>
        </w:rPr>
      </w:pPr>
      <w:r>
        <w:rPr>
          <w:rFonts w:ascii="Arial" w:eastAsia="Arial" w:hAnsi="Arial" w:cs="Arial"/>
          <w:b/>
          <w:i/>
          <w:sz w:val="28"/>
          <w:szCs w:val="28"/>
        </w:rPr>
        <w:t>July 22, 2021 Meeting</w:t>
      </w:r>
    </w:p>
    <w:p w14:paraId="00000004" w14:textId="77777777" w:rsidR="008F7D81" w:rsidRDefault="00B90D8E">
      <w:pPr>
        <w:jc w:val="center"/>
        <w:rPr>
          <w:rFonts w:ascii="Arial" w:eastAsia="Arial" w:hAnsi="Arial" w:cs="Arial"/>
          <w:sz w:val="28"/>
          <w:szCs w:val="28"/>
        </w:rPr>
      </w:pPr>
      <w:r>
        <w:rPr>
          <w:rFonts w:ascii="Arial" w:eastAsia="Arial" w:hAnsi="Arial" w:cs="Arial"/>
          <w:sz w:val="28"/>
          <w:szCs w:val="28"/>
        </w:rPr>
        <w:t>Minutes</w:t>
      </w:r>
    </w:p>
    <w:p w14:paraId="00000005" w14:textId="77777777"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Shmelzer, Assistant Secretary James Rzepkowski, Michelle Butt, Rob Minnick, Jeffrey Smith, Marquita Friday, Matthew Pine, Wendy Moore, Brian Cavey,John Feaster, Grace Kelly, </w:t>
      </w:r>
      <w:sdt>
        <w:sdtPr>
          <w:tag w:val="goog_rdk_0"/>
          <w:id w:val="-1185739612"/>
        </w:sdtPr>
        <w:sdtEndPr/>
        <w:sdtContent/>
      </w:sdt>
      <w:r>
        <w:rPr>
          <w:rFonts w:ascii="Arial" w:eastAsia="Arial" w:hAnsi="Arial" w:cs="Arial"/>
          <w:color w:val="222222"/>
          <w:sz w:val="24"/>
          <w:szCs w:val="24"/>
        </w:rPr>
        <w:t>Call in User 4</w:t>
      </w:r>
      <w:bookmarkStart w:id="1" w:name="_GoBack"/>
      <w:bookmarkEnd w:id="1"/>
    </w:p>
    <w:p w14:paraId="00000006" w14:textId="77777777" w:rsidR="008F7D81" w:rsidRDefault="008F7D81">
      <w:pPr>
        <w:shd w:val="clear" w:color="auto" w:fill="FFFFFF"/>
        <w:spacing w:after="0"/>
        <w:rPr>
          <w:rFonts w:ascii="Arial" w:eastAsia="Arial" w:hAnsi="Arial" w:cs="Arial"/>
          <w:color w:val="222222"/>
          <w:sz w:val="24"/>
          <w:szCs w:val="24"/>
        </w:rPr>
      </w:pPr>
    </w:p>
    <w:p w14:paraId="00000007"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14:paraId="00000008" w14:textId="77777777" w:rsidR="008F7D81" w:rsidRDefault="008F7D81">
      <w:pPr>
        <w:spacing w:after="0"/>
        <w:ind w:left="360"/>
        <w:jc w:val="both"/>
        <w:rPr>
          <w:rFonts w:ascii="Arial" w:eastAsia="Arial" w:hAnsi="Arial" w:cs="Arial"/>
          <w:sz w:val="24"/>
          <w:szCs w:val="24"/>
        </w:rPr>
      </w:pPr>
    </w:p>
    <w:p w14:paraId="00000009"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 xml:space="preserve">The meeting was convened at 10:43 AM by Chairperson Grant Shmelzer. The meeting start was delayed due to technical difficulties. </w:t>
      </w:r>
    </w:p>
    <w:p w14:paraId="0000000A" w14:textId="77777777" w:rsidR="008F7D81" w:rsidRDefault="008F7D81">
      <w:pPr>
        <w:spacing w:after="0"/>
        <w:jc w:val="both"/>
        <w:rPr>
          <w:rFonts w:ascii="Arial" w:eastAsia="Arial" w:hAnsi="Arial" w:cs="Arial"/>
          <w:sz w:val="24"/>
          <w:szCs w:val="24"/>
        </w:rPr>
      </w:pPr>
    </w:p>
    <w:p w14:paraId="0000000B"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14:paraId="0000000C" w14:textId="77777777" w:rsidR="008F7D81" w:rsidRDefault="008F7D81">
      <w:pPr>
        <w:spacing w:after="0"/>
        <w:ind w:left="360"/>
        <w:jc w:val="both"/>
        <w:rPr>
          <w:rFonts w:ascii="Arial" w:eastAsia="Arial" w:hAnsi="Arial" w:cs="Arial"/>
          <w:sz w:val="24"/>
          <w:szCs w:val="24"/>
        </w:rPr>
      </w:pPr>
    </w:p>
    <w:p w14:paraId="0000000D"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Brain Cavey made a motion to approve the 5/27/2021 minutes and it was seconded by Rob Minnick. The minutes were approved unanimously.</w:t>
      </w:r>
    </w:p>
    <w:p w14:paraId="0000000E" w14:textId="77777777" w:rsidR="008F7D81" w:rsidRDefault="008F7D81">
      <w:pPr>
        <w:pBdr>
          <w:top w:val="nil"/>
          <w:left w:val="nil"/>
          <w:bottom w:val="nil"/>
          <w:right w:val="nil"/>
          <w:between w:val="nil"/>
        </w:pBdr>
        <w:spacing w:after="0"/>
        <w:ind w:left="1080"/>
        <w:jc w:val="both"/>
        <w:rPr>
          <w:rFonts w:ascii="Arial" w:eastAsia="Arial" w:hAnsi="Arial" w:cs="Arial"/>
          <w:color w:val="000000"/>
        </w:rPr>
      </w:pPr>
    </w:p>
    <w:p w14:paraId="0000000F"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14:paraId="00000010" w14:textId="77777777" w:rsidR="008F7D81" w:rsidRDefault="008F7D81">
      <w:pPr>
        <w:spacing w:after="0"/>
        <w:ind w:left="360"/>
        <w:jc w:val="both"/>
        <w:rPr>
          <w:rFonts w:ascii="Arial" w:eastAsia="Arial" w:hAnsi="Arial" w:cs="Arial"/>
          <w:sz w:val="24"/>
          <w:szCs w:val="24"/>
          <w:highlight w:val="yellow"/>
        </w:rPr>
      </w:pPr>
    </w:p>
    <w:p w14:paraId="00000011"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Maryland Apprenticeship and Training Program (MATP) Program Manager, Jeffrey Smith, reviewed the program statistics as of 7/22/2021:</w:t>
      </w:r>
    </w:p>
    <w:p w14:paraId="00000012" w14:textId="77777777" w:rsidR="008F7D81" w:rsidRDefault="008F7D81">
      <w:pPr>
        <w:spacing w:after="0"/>
        <w:ind w:left="360"/>
        <w:jc w:val="both"/>
        <w:rPr>
          <w:rFonts w:ascii="Arial" w:eastAsia="Arial" w:hAnsi="Arial" w:cs="Arial"/>
          <w:sz w:val="24"/>
          <w:szCs w:val="24"/>
        </w:rPr>
      </w:pPr>
    </w:p>
    <w:p w14:paraId="00000013" w14:textId="77777777" w:rsidR="008F7D81" w:rsidRDefault="00B90D8E">
      <w:pPr>
        <w:numPr>
          <w:ilvl w:val="0"/>
          <w:numId w:val="2"/>
        </w:numPr>
        <w:spacing w:before="100" w:after="100" w:line="240" w:lineRule="auto"/>
        <w:rPr>
          <w:rFonts w:ascii="Arial" w:eastAsia="Arial" w:hAnsi="Arial" w:cs="Arial"/>
          <w:sz w:val="20"/>
          <w:szCs w:val="20"/>
        </w:rPr>
      </w:pPr>
      <w:r>
        <w:rPr>
          <w:rFonts w:ascii="Arial" w:eastAsia="Arial" w:hAnsi="Arial" w:cs="Arial"/>
          <w:sz w:val="20"/>
          <w:szCs w:val="20"/>
        </w:rPr>
        <w:t>Number of Total Youth Apprentices</w:t>
      </w:r>
    </w:p>
    <w:p w14:paraId="00000014"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2016-2017 School Year:  11</w:t>
      </w:r>
    </w:p>
    <w:p w14:paraId="00000015" w14:textId="77777777" w:rsidR="008F7D81" w:rsidRDefault="00B90D8E">
      <w:pPr>
        <w:spacing w:before="100" w:after="100" w:line="240" w:lineRule="auto"/>
        <w:ind w:left="945"/>
        <w:rPr>
          <w:rFonts w:ascii="Arial" w:eastAsia="Arial" w:hAnsi="Arial" w:cs="Arial"/>
          <w:b/>
          <w:sz w:val="20"/>
          <w:szCs w:val="20"/>
        </w:rPr>
      </w:pPr>
      <w:r>
        <w:rPr>
          <w:rFonts w:ascii="Arial" w:eastAsia="Arial" w:hAnsi="Arial" w:cs="Arial"/>
          <w:sz w:val="20"/>
          <w:szCs w:val="20"/>
        </w:rPr>
        <w:t>2017-2018 School Year:  27 (12 FCPS; 15 WCPS)</w:t>
      </w:r>
    </w:p>
    <w:p w14:paraId="00000016"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2018-2019 School Year:  47 (23 FCPS; 23 WCPS; TCPS 1)</w:t>
      </w:r>
    </w:p>
    <w:p w14:paraId="00000017"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 xml:space="preserve">2019-2020 School Year:  74 (3 ACPS; 3 DCPS; 21 FCPS; 19 HCPS; 2 KCPS; 5 QACPS; 8 TCPS; 13 WCPS) </w:t>
      </w:r>
    </w:p>
    <w:p w14:paraId="00000018" w14:textId="77777777" w:rsidR="008F7D81" w:rsidRDefault="00B90D8E">
      <w:pPr>
        <w:spacing w:before="100" w:after="100" w:line="240" w:lineRule="auto"/>
        <w:ind w:left="945"/>
        <w:rPr>
          <w:rFonts w:ascii="Arial" w:eastAsia="Arial" w:hAnsi="Arial" w:cs="Arial"/>
          <w:b/>
          <w:sz w:val="20"/>
          <w:szCs w:val="20"/>
        </w:rPr>
      </w:pPr>
      <w:r>
        <w:rPr>
          <w:rFonts w:ascii="Arial" w:eastAsia="Arial" w:hAnsi="Arial" w:cs="Arial"/>
          <w:b/>
          <w:sz w:val="20"/>
          <w:szCs w:val="20"/>
        </w:rPr>
        <w:t>2020-2021 School Year (to date):  90 (1 ACPS; 4 BCPS; 8 DCPS; 19 FCPS; 23 HCPS; 2 KCPS: 6 SMCPS; 4 TCPS; 22 WCPS)</w:t>
      </w:r>
      <w:r>
        <w:rPr>
          <w:rFonts w:ascii="Arial" w:eastAsia="Arial" w:hAnsi="Arial" w:cs="Arial"/>
          <w:b/>
          <w:sz w:val="20"/>
          <w:szCs w:val="20"/>
          <w:vertAlign w:val="superscript"/>
        </w:rPr>
        <w:footnoteReference w:id="1"/>
      </w:r>
    </w:p>
    <w:p w14:paraId="00000019" w14:textId="77777777" w:rsidR="008F7D81" w:rsidRDefault="008F7D81">
      <w:pPr>
        <w:spacing w:before="100" w:after="100" w:line="240" w:lineRule="auto"/>
        <w:ind w:left="945"/>
        <w:rPr>
          <w:rFonts w:ascii="Arial" w:eastAsia="Arial" w:hAnsi="Arial" w:cs="Arial"/>
          <w:b/>
          <w:sz w:val="20"/>
          <w:szCs w:val="20"/>
        </w:rPr>
      </w:pPr>
    </w:p>
    <w:p w14:paraId="0000001A"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Number of Participating Businesses</w:t>
      </w:r>
    </w:p>
    <w:p w14:paraId="0000001B"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lastRenderedPageBreak/>
        <w:t>2016-2017 School Year:  14</w:t>
      </w:r>
    </w:p>
    <w:p w14:paraId="0000001C"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2017-2018 School Year:  44</w:t>
      </w:r>
    </w:p>
    <w:p w14:paraId="0000001D"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2018-2019 School Year:  109 unduplicated employers (9 ACPS; 5 CCPS; 6 DCPS;  46 FCPS; 20 HCPS; 5 KCPS; 6 QACPS; 5 TCPS; 35 WCPS)</w:t>
      </w:r>
    </w:p>
    <w:p w14:paraId="0000001E"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2019-2020 School Year:  171 unduplicated employers  13 Allegany; 13 Baltimore City; 23 Baltimore; 12 Caroline; 12 Carroll; 17 Dorchester;  53 Frederick; 33 Howard; 12 Kent; 23 Montgomery; 15 Queen Anne’s; 5 St. Mary’s; 16 Talbot; 43 Washington; 2 Wicomico)</w:t>
      </w:r>
    </w:p>
    <w:p w14:paraId="0000001F" w14:textId="77777777" w:rsidR="008F7D81" w:rsidRDefault="00B90D8E">
      <w:pPr>
        <w:spacing w:before="100" w:after="100" w:line="240" w:lineRule="auto"/>
        <w:ind w:left="945"/>
        <w:rPr>
          <w:rFonts w:ascii="Arial" w:eastAsia="Arial" w:hAnsi="Arial" w:cs="Arial"/>
          <w:b/>
          <w:sz w:val="20"/>
          <w:szCs w:val="20"/>
        </w:rPr>
      </w:pPr>
      <w:r>
        <w:rPr>
          <w:rFonts w:ascii="Arial" w:eastAsia="Arial" w:hAnsi="Arial" w:cs="Arial"/>
          <w:b/>
          <w:sz w:val="20"/>
          <w:szCs w:val="20"/>
        </w:rPr>
        <w:t>2020-2021 School Year (to date):  236 unduplicated employers (to date)  14 Allegany; 1 Anne Arundel; 17 Baltimore City; 27 Baltimore; 17 Caroline; 19 Carroll; 6 Calvert; 22 Dorchester;  58 Frederick; 41 Howard; 12 Kent; 29 Montgomery; 5 Prince George’s; 18 Queen Anne’s; 21 St. Mary’s; 19 Talbot; 44 Washington; 4 Wicomico)</w:t>
      </w:r>
    </w:p>
    <w:p w14:paraId="00000020" w14:textId="77777777" w:rsidR="008F7D81" w:rsidRDefault="008F7D81">
      <w:pPr>
        <w:spacing w:before="100" w:after="100" w:line="240" w:lineRule="auto"/>
        <w:ind w:left="945"/>
        <w:rPr>
          <w:rFonts w:ascii="Arial" w:eastAsia="Arial" w:hAnsi="Arial" w:cs="Arial"/>
          <w:b/>
          <w:sz w:val="20"/>
          <w:szCs w:val="20"/>
        </w:rPr>
      </w:pPr>
    </w:p>
    <w:p w14:paraId="00000021"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Number of Participating School Systems</w:t>
      </w:r>
    </w:p>
    <w:p w14:paraId="00000022"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2016-2017 School Year:  2</w:t>
      </w:r>
    </w:p>
    <w:p w14:paraId="00000023"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2017-2018 School Year:  2</w:t>
      </w:r>
    </w:p>
    <w:p w14:paraId="00000024"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2018-2019 School Year:  11 (ACPS; BCPS: CCPS; DCPS; FCPS; HCPS; KCPS; QACPS; SMCPS; TCPS; WCPS)</w:t>
      </w:r>
    </w:p>
    <w:p w14:paraId="00000025" w14:textId="77777777" w:rsidR="008F7D81" w:rsidRDefault="00B90D8E">
      <w:pPr>
        <w:spacing w:before="100" w:after="100" w:line="240" w:lineRule="auto"/>
        <w:ind w:left="945"/>
        <w:rPr>
          <w:rFonts w:ascii="Arial" w:eastAsia="Arial" w:hAnsi="Arial" w:cs="Arial"/>
          <w:sz w:val="20"/>
          <w:szCs w:val="20"/>
        </w:rPr>
      </w:pPr>
      <w:r>
        <w:rPr>
          <w:rFonts w:ascii="Arial" w:eastAsia="Arial" w:hAnsi="Arial" w:cs="Arial"/>
          <w:sz w:val="20"/>
          <w:szCs w:val="20"/>
        </w:rPr>
        <w:t>2019-2020 School Year:  16 Allegany, Baltimore City, Baltimore, Caroline, Carroll, Dorchester, Frederick, Howard, Kent, Montgomery, Prince George’s, Queen Anne’s, St. Mary’s, Talbot, Washington, Wicomico</w:t>
      </w:r>
    </w:p>
    <w:p w14:paraId="00000026" w14:textId="77777777" w:rsidR="008F7D81" w:rsidRDefault="00B90D8E">
      <w:pPr>
        <w:spacing w:before="100" w:after="100" w:line="240" w:lineRule="auto"/>
        <w:ind w:left="945"/>
        <w:rPr>
          <w:rFonts w:ascii="Arial" w:eastAsia="Arial" w:hAnsi="Arial" w:cs="Arial"/>
          <w:b/>
          <w:sz w:val="20"/>
          <w:szCs w:val="20"/>
        </w:rPr>
      </w:pPr>
      <w:r>
        <w:rPr>
          <w:rFonts w:ascii="Arial" w:eastAsia="Arial" w:hAnsi="Arial" w:cs="Arial"/>
          <w:b/>
          <w:sz w:val="20"/>
          <w:szCs w:val="20"/>
        </w:rPr>
        <w:t>2020-2021 School Year (to date):  20 Allegany, Anne Arundel, Baltimore City, Baltimore, Caroline, Carroll, Calvert, Charles, Dorchester, Frederick, Harford, Howard, Kent, Montgomery, Queen Anne’s, Prince George’s, St. Mary’s, Talbot, Washington, Wicomico</w:t>
      </w:r>
    </w:p>
    <w:p w14:paraId="00000027" w14:textId="77777777" w:rsidR="008F7D81" w:rsidRDefault="008F7D81">
      <w:pPr>
        <w:spacing w:before="100" w:after="100" w:line="240" w:lineRule="auto"/>
        <w:ind w:left="945"/>
        <w:rPr>
          <w:rFonts w:ascii="Arial" w:eastAsia="Arial" w:hAnsi="Arial" w:cs="Arial"/>
          <w:b/>
          <w:sz w:val="20"/>
          <w:szCs w:val="20"/>
        </w:rPr>
      </w:pPr>
    </w:p>
    <w:p w14:paraId="00000028"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Current Average Hourly Wage:  $12.72</w:t>
      </w:r>
      <w:r>
        <w:rPr>
          <w:rFonts w:ascii="Arial" w:eastAsia="Arial" w:hAnsi="Arial" w:cs="Arial"/>
          <w:sz w:val="20"/>
          <w:szCs w:val="20"/>
        </w:rPr>
        <w:tab/>
        <w:t xml:space="preserve"> (ranges from $11.75 to $15.00)</w:t>
      </w:r>
    </w:p>
    <w:p w14:paraId="00000029" w14:textId="77777777" w:rsidR="008F7D81" w:rsidRDefault="008F7D81">
      <w:pPr>
        <w:spacing w:before="100" w:after="100" w:line="240" w:lineRule="auto"/>
        <w:rPr>
          <w:rFonts w:ascii="Arial" w:eastAsia="Arial" w:hAnsi="Arial" w:cs="Arial"/>
          <w:sz w:val="20"/>
          <w:szCs w:val="20"/>
        </w:rPr>
      </w:pPr>
    </w:p>
    <w:p w14:paraId="0000002A"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Number and Percentage of AMP Students Also With Status as Registered Apprentices:  21 (28.0%)</w:t>
      </w:r>
    </w:p>
    <w:p w14:paraId="0000002B" w14:textId="77777777" w:rsidR="008F7D81" w:rsidRDefault="008F7D81">
      <w:pPr>
        <w:spacing w:before="100" w:after="100" w:line="240" w:lineRule="auto"/>
        <w:rPr>
          <w:rFonts w:ascii="Arial" w:eastAsia="Arial" w:hAnsi="Arial" w:cs="Arial"/>
          <w:sz w:val="20"/>
          <w:szCs w:val="20"/>
        </w:rPr>
      </w:pPr>
    </w:p>
    <w:p w14:paraId="0000002C"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 xml:space="preserve">Industry representation for currently registered youth apprentices:  </w:t>
      </w:r>
    </w:p>
    <w:p w14:paraId="0000002D" w14:textId="77777777" w:rsidR="008F7D81" w:rsidRDefault="008F7D81">
      <w:pPr>
        <w:spacing w:before="100" w:after="100" w:line="240" w:lineRule="auto"/>
        <w:ind w:left="945"/>
        <w:jc w:val="center"/>
        <w:rPr>
          <w:rFonts w:ascii="Arial" w:eastAsia="Arial" w:hAnsi="Arial" w:cs="Arial"/>
          <w:sz w:val="20"/>
          <w:szCs w:val="20"/>
        </w:rPr>
      </w:pPr>
    </w:p>
    <w:tbl>
      <w:tblPr>
        <w:tblStyle w:val="a0"/>
        <w:tblW w:w="7400" w:type="dxa"/>
        <w:jc w:val="center"/>
        <w:tblLayout w:type="fixed"/>
        <w:tblLook w:val="0400" w:firstRow="0" w:lastRow="0" w:firstColumn="0" w:lastColumn="0" w:noHBand="0" w:noVBand="1"/>
      </w:tblPr>
      <w:tblGrid>
        <w:gridCol w:w="4321"/>
        <w:gridCol w:w="1876"/>
        <w:gridCol w:w="1203"/>
      </w:tblGrid>
      <w:tr w:rsidR="008F7D81" w14:paraId="79659BB1" w14:textId="77777777">
        <w:trPr>
          <w:trHeight w:val="420"/>
          <w:jc w:val="center"/>
        </w:trPr>
        <w:tc>
          <w:tcPr>
            <w:tcW w:w="7400" w:type="dxa"/>
            <w:gridSpan w:val="3"/>
            <w:tcBorders>
              <w:top w:val="single" w:sz="4" w:space="0" w:color="000000"/>
              <w:left w:val="single" w:sz="4" w:space="0" w:color="000000"/>
              <w:bottom w:val="nil"/>
              <w:right w:val="single" w:sz="4" w:space="0" w:color="000000"/>
            </w:tcBorders>
            <w:shd w:val="clear" w:color="auto" w:fill="C9C9C9"/>
            <w:vAlign w:val="bottom"/>
          </w:tcPr>
          <w:p w14:paraId="0000002E" w14:textId="77777777" w:rsidR="008F7D81" w:rsidRDefault="00B90D8E">
            <w:pPr>
              <w:spacing w:after="0" w:line="240" w:lineRule="auto"/>
              <w:jc w:val="center"/>
              <w:rPr>
                <w:b/>
                <w:sz w:val="32"/>
                <w:szCs w:val="32"/>
              </w:rPr>
            </w:pPr>
            <w:r>
              <w:rPr>
                <w:b/>
                <w:sz w:val="32"/>
                <w:szCs w:val="32"/>
              </w:rPr>
              <w:t>AMP Business Percentages</w:t>
            </w:r>
          </w:p>
          <w:p w14:paraId="0000002F" w14:textId="77777777" w:rsidR="008F7D81" w:rsidRDefault="00B90D8E">
            <w:pPr>
              <w:spacing w:after="0" w:line="240" w:lineRule="auto"/>
              <w:jc w:val="center"/>
              <w:rPr>
                <w:b/>
                <w:sz w:val="32"/>
                <w:szCs w:val="32"/>
              </w:rPr>
            </w:pPr>
            <w:r>
              <w:rPr>
                <w:b/>
                <w:sz w:val="32"/>
                <w:szCs w:val="32"/>
              </w:rPr>
              <w:t>2020-2021 School Year</w:t>
            </w:r>
          </w:p>
        </w:tc>
      </w:tr>
      <w:tr w:rsidR="008F7D81" w14:paraId="4A12D7AD" w14:textId="77777777">
        <w:trPr>
          <w:trHeight w:val="600"/>
          <w:jc w:val="center"/>
        </w:trPr>
        <w:tc>
          <w:tcPr>
            <w:tcW w:w="4321" w:type="dxa"/>
            <w:tcBorders>
              <w:top w:val="nil"/>
              <w:left w:val="single" w:sz="4" w:space="0" w:color="000000"/>
              <w:bottom w:val="single" w:sz="4" w:space="0" w:color="000000"/>
              <w:right w:val="nil"/>
            </w:tcBorders>
            <w:shd w:val="clear" w:color="auto" w:fill="C9C9C9"/>
            <w:vAlign w:val="bottom"/>
          </w:tcPr>
          <w:p w14:paraId="00000032" w14:textId="77777777" w:rsidR="008F7D81" w:rsidRDefault="00B90D8E">
            <w:pPr>
              <w:spacing w:after="0" w:line="240" w:lineRule="auto"/>
              <w:jc w:val="center"/>
              <w:rPr>
                <w:i/>
              </w:rPr>
            </w:pPr>
            <w:r>
              <w:rPr>
                <w:i/>
              </w:rPr>
              <w:t>Industry Sector</w:t>
            </w:r>
          </w:p>
        </w:tc>
        <w:tc>
          <w:tcPr>
            <w:tcW w:w="1876" w:type="dxa"/>
            <w:tcBorders>
              <w:top w:val="nil"/>
              <w:left w:val="nil"/>
              <w:bottom w:val="single" w:sz="4" w:space="0" w:color="000000"/>
              <w:right w:val="nil"/>
            </w:tcBorders>
            <w:shd w:val="clear" w:color="auto" w:fill="C9C9C9"/>
            <w:vAlign w:val="bottom"/>
          </w:tcPr>
          <w:p w14:paraId="00000033" w14:textId="77777777" w:rsidR="008F7D81" w:rsidRDefault="00B90D8E">
            <w:pPr>
              <w:spacing w:after="0" w:line="240" w:lineRule="auto"/>
              <w:jc w:val="center"/>
              <w:rPr>
                <w:i/>
              </w:rPr>
            </w:pPr>
            <w:r>
              <w:rPr>
                <w:i/>
              </w:rPr>
              <w:t># of Youth Apprentices</w:t>
            </w:r>
          </w:p>
        </w:tc>
        <w:tc>
          <w:tcPr>
            <w:tcW w:w="1203" w:type="dxa"/>
            <w:tcBorders>
              <w:top w:val="nil"/>
              <w:left w:val="nil"/>
              <w:bottom w:val="single" w:sz="4" w:space="0" w:color="000000"/>
              <w:right w:val="single" w:sz="4" w:space="0" w:color="000000"/>
            </w:tcBorders>
            <w:shd w:val="clear" w:color="auto" w:fill="C9C9C9"/>
            <w:vAlign w:val="bottom"/>
          </w:tcPr>
          <w:p w14:paraId="00000034" w14:textId="77777777" w:rsidR="008F7D81" w:rsidRDefault="00B90D8E">
            <w:pPr>
              <w:spacing w:after="0" w:line="240" w:lineRule="auto"/>
              <w:jc w:val="center"/>
              <w:rPr>
                <w:i/>
              </w:rPr>
            </w:pPr>
            <w:r>
              <w:rPr>
                <w:i/>
              </w:rPr>
              <w:t>% of Total</w:t>
            </w:r>
          </w:p>
        </w:tc>
      </w:tr>
      <w:tr w:rsidR="008F7D81" w14:paraId="4FE8E3C9"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35" w14:textId="77777777" w:rsidR="008F7D81" w:rsidRDefault="00B90D8E">
            <w:pPr>
              <w:spacing w:after="0" w:line="240" w:lineRule="auto"/>
              <w:ind w:firstLine="220"/>
            </w:pPr>
            <w:r>
              <w:t>Marine Trades</w:t>
            </w:r>
          </w:p>
        </w:tc>
        <w:tc>
          <w:tcPr>
            <w:tcW w:w="1876" w:type="dxa"/>
            <w:tcBorders>
              <w:top w:val="nil"/>
              <w:left w:val="nil"/>
              <w:bottom w:val="nil"/>
              <w:right w:val="nil"/>
            </w:tcBorders>
            <w:shd w:val="clear" w:color="auto" w:fill="auto"/>
            <w:vAlign w:val="bottom"/>
          </w:tcPr>
          <w:p w14:paraId="00000036" w14:textId="77777777" w:rsidR="008F7D81" w:rsidRDefault="00B90D8E">
            <w:pPr>
              <w:spacing w:after="0" w:line="240" w:lineRule="auto"/>
              <w:jc w:val="right"/>
            </w:pPr>
            <w:r>
              <w:t>1</w:t>
            </w:r>
          </w:p>
        </w:tc>
        <w:tc>
          <w:tcPr>
            <w:tcW w:w="1203" w:type="dxa"/>
            <w:tcBorders>
              <w:top w:val="nil"/>
              <w:left w:val="nil"/>
              <w:bottom w:val="nil"/>
              <w:right w:val="single" w:sz="8" w:space="0" w:color="000000"/>
            </w:tcBorders>
            <w:shd w:val="clear" w:color="auto" w:fill="auto"/>
            <w:vAlign w:val="bottom"/>
          </w:tcPr>
          <w:p w14:paraId="00000037" w14:textId="77777777" w:rsidR="008F7D81" w:rsidRDefault="00B90D8E">
            <w:pPr>
              <w:spacing w:after="0" w:line="240" w:lineRule="auto"/>
              <w:jc w:val="right"/>
            </w:pPr>
            <w:r>
              <w:t>1.1%</w:t>
            </w:r>
          </w:p>
        </w:tc>
      </w:tr>
      <w:tr w:rsidR="008F7D81" w14:paraId="34776AFD"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38" w14:textId="77777777" w:rsidR="008F7D81" w:rsidRDefault="00B90D8E">
            <w:pPr>
              <w:spacing w:after="0" w:line="240" w:lineRule="auto"/>
              <w:ind w:firstLine="220"/>
            </w:pPr>
            <w:r>
              <w:t>Association Management</w:t>
            </w:r>
          </w:p>
        </w:tc>
        <w:tc>
          <w:tcPr>
            <w:tcW w:w="1876" w:type="dxa"/>
            <w:tcBorders>
              <w:top w:val="nil"/>
              <w:left w:val="nil"/>
              <w:bottom w:val="nil"/>
              <w:right w:val="nil"/>
            </w:tcBorders>
            <w:shd w:val="clear" w:color="auto" w:fill="auto"/>
            <w:vAlign w:val="bottom"/>
          </w:tcPr>
          <w:p w14:paraId="00000039" w14:textId="77777777" w:rsidR="008F7D81" w:rsidRDefault="00B90D8E">
            <w:pPr>
              <w:spacing w:after="0" w:line="240" w:lineRule="auto"/>
              <w:jc w:val="right"/>
            </w:pPr>
            <w:r>
              <w:t>1</w:t>
            </w:r>
          </w:p>
        </w:tc>
        <w:tc>
          <w:tcPr>
            <w:tcW w:w="1203" w:type="dxa"/>
            <w:tcBorders>
              <w:top w:val="nil"/>
              <w:left w:val="nil"/>
              <w:bottom w:val="nil"/>
              <w:right w:val="single" w:sz="8" w:space="0" w:color="000000"/>
            </w:tcBorders>
            <w:shd w:val="clear" w:color="auto" w:fill="auto"/>
            <w:vAlign w:val="bottom"/>
          </w:tcPr>
          <w:p w14:paraId="0000003A" w14:textId="77777777" w:rsidR="008F7D81" w:rsidRDefault="00B90D8E">
            <w:pPr>
              <w:spacing w:after="0" w:line="240" w:lineRule="auto"/>
              <w:jc w:val="right"/>
            </w:pPr>
            <w:r>
              <w:t>1.1%</w:t>
            </w:r>
          </w:p>
        </w:tc>
      </w:tr>
      <w:tr w:rsidR="008F7D81" w14:paraId="645044FF"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3B" w14:textId="77777777" w:rsidR="008F7D81" w:rsidRDefault="00B90D8E">
            <w:pPr>
              <w:spacing w:after="0" w:line="240" w:lineRule="auto"/>
              <w:ind w:firstLine="220"/>
            </w:pPr>
            <w:r>
              <w:t>Information Technology</w:t>
            </w:r>
          </w:p>
        </w:tc>
        <w:tc>
          <w:tcPr>
            <w:tcW w:w="1876" w:type="dxa"/>
            <w:tcBorders>
              <w:top w:val="nil"/>
              <w:left w:val="nil"/>
              <w:bottom w:val="nil"/>
              <w:right w:val="nil"/>
            </w:tcBorders>
            <w:shd w:val="clear" w:color="auto" w:fill="auto"/>
            <w:vAlign w:val="bottom"/>
          </w:tcPr>
          <w:p w14:paraId="0000003C" w14:textId="77777777" w:rsidR="008F7D81" w:rsidRDefault="00B90D8E">
            <w:pPr>
              <w:spacing w:after="0" w:line="240" w:lineRule="auto"/>
              <w:jc w:val="right"/>
            </w:pPr>
            <w:r>
              <w:t>1</w:t>
            </w:r>
          </w:p>
        </w:tc>
        <w:tc>
          <w:tcPr>
            <w:tcW w:w="1203" w:type="dxa"/>
            <w:tcBorders>
              <w:top w:val="nil"/>
              <w:left w:val="nil"/>
              <w:bottom w:val="nil"/>
              <w:right w:val="single" w:sz="8" w:space="0" w:color="000000"/>
            </w:tcBorders>
            <w:shd w:val="clear" w:color="auto" w:fill="auto"/>
            <w:vAlign w:val="bottom"/>
          </w:tcPr>
          <w:p w14:paraId="0000003D" w14:textId="77777777" w:rsidR="008F7D81" w:rsidRDefault="00B90D8E">
            <w:pPr>
              <w:spacing w:after="0" w:line="240" w:lineRule="auto"/>
              <w:jc w:val="right"/>
            </w:pPr>
            <w:r>
              <w:t>1.1%</w:t>
            </w:r>
          </w:p>
        </w:tc>
      </w:tr>
      <w:tr w:rsidR="008F7D81" w14:paraId="7673E9B6"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3E" w14:textId="77777777" w:rsidR="008F7D81" w:rsidRDefault="00B90D8E">
            <w:pPr>
              <w:spacing w:after="0" w:line="240" w:lineRule="auto"/>
              <w:ind w:firstLine="220"/>
            </w:pPr>
            <w:r>
              <w:t>Finance, Banking and Real Estate</w:t>
            </w:r>
          </w:p>
        </w:tc>
        <w:tc>
          <w:tcPr>
            <w:tcW w:w="1876" w:type="dxa"/>
            <w:tcBorders>
              <w:top w:val="nil"/>
              <w:left w:val="nil"/>
              <w:bottom w:val="nil"/>
              <w:right w:val="nil"/>
            </w:tcBorders>
            <w:shd w:val="clear" w:color="auto" w:fill="auto"/>
            <w:vAlign w:val="bottom"/>
          </w:tcPr>
          <w:p w14:paraId="0000003F" w14:textId="77777777" w:rsidR="008F7D81" w:rsidRDefault="00B90D8E">
            <w:pPr>
              <w:spacing w:after="0" w:line="240" w:lineRule="auto"/>
              <w:jc w:val="right"/>
            </w:pPr>
            <w:r>
              <w:t>3</w:t>
            </w:r>
          </w:p>
        </w:tc>
        <w:tc>
          <w:tcPr>
            <w:tcW w:w="1203" w:type="dxa"/>
            <w:tcBorders>
              <w:top w:val="nil"/>
              <w:left w:val="nil"/>
              <w:bottom w:val="nil"/>
              <w:right w:val="single" w:sz="8" w:space="0" w:color="000000"/>
            </w:tcBorders>
            <w:shd w:val="clear" w:color="auto" w:fill="auto"/>
            <w:vAlign w:val="bottom"/>
          </w:tcPr>
          <w:p w14:paraId="00000040" w14:textId="77777777" w:rsidR="008F7D81" w:rsidRDefault="00B90D8E">
            <w:pPr>
              <w:spacing w:after="0" w:line="240" w:lineRule="auto"/>
              <w:jc w:val="right"/>
            </w:pPr>
            <w:r>
              <w:t>3.3%</w:t>
            </w:r>
          </w:p>
        </w:tc>
      </w:tr>
      <w:tr w:rsidR="008F7D81" w14:paraId="57D9EDB7"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41" w14:textId="77777777" w:rsidR="008F7D81" w:rsidRDefault="00B90D8E">
            <w:pPr>
              <w:spacing w:after="0" w:line="240" w:lineRule="auto"/>
              <w:ind w:firstLine="220"/>
            </w:pPr>
            <w:r>
              <w:t>Architecture</w:t>
            </w:r>
          </w:p>
        </w:tc>
        <w:tc>
          <w:tcPr>
            <w:tcW w:w="1876" w:type="dxa"/>
            <w:tcBorders>
              <w:top w:val="nil"/>
              <w:left w:val="nil"/>
              <w:bottom w:val="nil"/>
              <w:right w:val="nil"/>
            </w:tcBorders>
            <w:shd w:val="clear" w:color="auto" w:fill="auto"/>
            <w:vAlign w:val="bottom"/>
          </w:tcPr>
          <w:p w14:paraId="00000042" w14:textId="77777777" w:rsidR="008F7D81" w:rsidRDefault="00B90D8E">
            <w:pPr>
              <w:spacing w:after="0" w:line="240" w:lineRule="auto"/>
              <w:jc w:val="right"/>
            </w:pPr>
            <w:r>
              <w:t>2</w:t>
            </w:r>
          </w:p>
        </w:tc>
        <w:tc>
          <w:tcPr>
            <w:tcW w:w="1203" w:type="dxa"/>
            <w:tcBorders>
              <w:top w:val="nil"/>
              <w:left w:val="nil"/>
              <w:bottom w:val="nil"/>
              <w:right w:val="single" w:sz="8" w:space="0" w:color="000000"/>
            </w:tcBorders>
            <w:shd w:val="clear" w:color="auto" w:fill="auto"/>
            <w:vAlign w:val="bottom"/>
          </w:tcPr>
          <w:p w14:paraId="00000043" w14:textId="77777777" w:rsidR="008F7D81" w:rsidRDefault="00B90D8E">
            <w:pPr>
              <w:spacing w:after="0" w:line="240" w:lineRule="auto"/>
              <w:jc w:val="right"/>
            </w:pPr>
            <w:r>
              <w:t>2.2%</w:t>
            </w:r>
          </w:p>
        </w:tc>
      </w:tr>
      <w:tr w:rsidR="008F7D81" w14:paraId="5E817665"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44" w14:textId="77777777" w:rsidR="008F7D81" w:rsidRDefault="00B90D8E">
            <w:pPr>
              <w:spacing w:after="0" w:line="240" w:lineRule="auto"/>
              <w:ind w:firstLine="220"/>
            </w:pPr>
            <w:r>
              <w:t>Agriculture</w:t>
            </w:r>
          </w:p>
        </w:tc>
        <w:tc>
          <w:tcPr>
            <w:tcW w:w="1876" w:type="dxa"/>
            <w:tcBorders>
              <w:top w:val="nil"/>
              <w:left w:val="nil"/>
              <w:bottom w:val="nil"/>
              <w:right w:val="nil"/>
            </w:tcBorders>
            <w:shd w:val="clear" w:color="auto" w:fill="auto"/>
            <w:vAlign w:val="bottom"/>
          </w:tcPr>
          <w:p w14:paraId="00000045" w14:textId="77777777" w:rsidR="008F7D81" w:rsidRDefault="00B90D8E">
            <w:pPr>
              <w:spacing w:after="0" w:line="240" w:lineRule="auto"/>
              <w:jc w:val="right"/>
            </w:pPr>
            <w:r>
              <w:t>2</w:t>
            </w:r>
          </w:p>
        </w:tc>
        <w:tc>
          <w:tcPr>
            <w:tcW w:w="1203" w:type="dxa"/>
            <w:tcBorders>
              <w:top w:val="nil"/>
              <w:left w:val="nil"/>
              <w:bottom w:val="nil"/>
              <w:right w:val="single" w:sz="8" w:space="0" w:color="000000"/>
            </w:tcBorders>
            <w:shd w:val="clear" w:color="auto" w:fill="auto"/>
            <w:vAlign w:val="bottom"/>
          </w:tcPr>
          <w:p w14:paraId="00000046" w14:textId="77777777" w:rsidR="008F7D81" w:rsidRDefault="00B90D8E">
            <w:pPr>
              <w:spacing w:after="0" w:line="240" w:lineRule="auto"/>
              <w:jc w:val="right"/>
            </w:pPr>
            <w:r>
              <w:t>2.2%</w:t>
            </w:r>
          </w:p>
        </w:tc>
      </w:tr>
      <w:tr w:rsidR="008F7D81" w14:paraId="27A7F6A1"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47" w14:textId="77777777" w:rsidR="008F7D81" w:rsidRDefault="00B90D8E">
            <w:pPr>
              <w:spacing w:after="0" w:line="240" w:lineRule="auto"/>
              <w:ind w:firstLine="220"/>
            </w:pPr>
            <w:r>
              <w:t>Engineering</w:t>
            </w:r>
          </w:p>
        </w:tc>
        <w:tc>
          <w:tcPr>
            <w:tcW w:w="1876" w:type="dxa"/>
            <w:tcBorders>
              <w:top w:val="nil"/>
              <w:left w:val="nil"/>
              <w:bottom w:val="nil"/>
              <w:right w:val="nil"/>
            </w:tcBorders>
            <w:shd w:val="clear" w:color="auto" w:fill="auto"/>
            <w:vAlign w:val="bottom"/>
          </w:tcPr>
          <w:p w14:paraId="00000048" w14:textId="77777777" w:rsidR="008F7D81" w:rsidRDefault="00B90D8E">
            <w:pPr>
              <w:spacing w:after="0" w:line="240" w:lineRule="auto"/>
              <w:jc w:val="right"/>
            </w:pPr>
            <w:r>
              <w:t>2</w:t>
            </w:r>
          </w:p>
        </w:tc>
        <w:tc>
          <w:tcPr>
            <w:tcW w:w="1203" w:type="dxa"/>
            <w:tcBorders>
              <w:top w:val="nil"/>
              <w:left w:val="nil"/>
              <w:bottom w:val="nil"/>
              <w:right w:val="single" w:sz="8" w:space="0" w:color="000000"/>
            </w:tcBorders>
            <w:shd w:val="clear" w:color="auto" w:fill="auto"/>
            <w:vAlign w:val="bottom"/>
          </w:tcPr>
          <w:p w14:paraId="00000049" w14:textId="77777777" w:rsidR="008F7D81" w:rsidRDefault="00B90D8E">
            <w:pPr>
              <w:spacing w:after="0" w:line="240" w:lineRule="auto"/>
              <w:jc w:val="right"/>
            </w:pPr>
            <w:r>
              <w:t>2.2%</w:t>
            </w:r>
          </w:p>
        </w:tc>
      </w:tr>
      <w:tr w:rsidR="008F7D81" w14:paraId="71AD5494"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4A" w14:textId="77777777" w:rsidR="008F7D81" w:rsidRDefault="00B90D8E">
            <w:pPr>
              <w:spacing w:after="0" w:line="240" w:lineRule="auto"/>
              <w:ind w:firstLine="220"/>
            </w:pPr>
            <w:r>
              <w:t>Business</w:t>
            </w:r>
          </w:p>
        </w:tc>
        <w:tc>
          <w:tcPr>
            <w:tcW w:w="1876" w:type="dxa"/>
            <w:tcBorders>
              <w:top w:val="nil"/>
              <w:left w:val="nil"/>
              <w:bottom w:val="nil"/>
              <w:right w:val="nil"/>
            </w:tcBorders>
            <w:shd w:val="clear" w:color="auto" w:fill="auto"/>
            <w:vAlign w:val="bottom"/>
          </w:tcPr>
          <w:p w14:paraId="0000004B" w14:textId="77777777" w:rsidR="008F7D81" w:rsidRDefault="00B90D8E">
            <w:pPr>
              <w:spacing w:after="0" w:line="240" w:lineRule="auto"/>
              <w:jc w:val="right"/>
            </w:pPr>
            <w:r>
              <w:t>2</w:t>
            </w:r>
          </w:p>
        </w:tc>
        <w:tc>
          <w:tcPr>
            <w:tcW w:w="1203" w:type="dxa"/>
            <w:tcBorders>
              <w:top w:val="nil"/>
              <w:left w:val="nil"/>
              <w:bottom w:val="nil"/>
              <w:right w:val="single" w:sz="8" w:space="0" w:color="000000"/>
            </w:tcBorders>
            <w:shd w:val="clear" w:color="auto" w:fill="auto"/>
            <w:vAlign w:val="bottom"/>
          </w:tcPr>
          <w:p w14:paraId="0000004C" w14:textId="77777777" w:rsidR="008F7D81" w:rsidRDefault="00B90D8E">
            <w:pPr>
              <w:spacing w:after="0" w:line="240" w:lineRule="auto"/>
              <w:jc w:val="right"/>
            </w:pPr>
            <w:r>
              <w:t>2.2%</w:t>
            </w:r>
          </w:p>
        </w:tc>
      </w:tr>
      <w:tr w:rsidR="008F7D81" w14:paraId="2192A6A8"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4D" w14:textId="77777777" w:rsidR="008F7D81" w:rsidRDefault="00B90D8E">
            <w:pPr>
              <w:spacing w:after="0" w:line="240" w:lineRule="auto"/>
              <w:ind w:firstLine="220"/>
            </w:pPr>
            <w:r>
              <w:t>Hospitality and Foodservice</w:t>
            </w:r>
          </w:p>
        </w:tc>
        <w:tc>
          <w:tcPr>
            <w:tcW w:w="1876" w:type="dxa"/>
            <w:tcBorders>
              <w:top w:val="nil"/>
              <w:left w:val="nil"/>
              <w:bottom w:val="nil"/>
              <w:right w:val="nil"/>
            </w:tcBorders>
            <w:shd w:val="clear" w:color="auto" w:fill="auto"/>
            <w:vAlign w:val="bottom"/>
          </w:tcPr>
          <w:p w14:paraId="0000004E" w14:textId="77777777" w:rsidR="008F7D81" w:rsidRDefault="00B90D8E">
            <w:pPr>
              <w:spacing w:after="0" w:line="240" w:lineRule="auto"/>
              <w:jc w:val="right"/>
            </w:pPr>
            <w:r>
              <w:t>2</w:t>
            </w:r>
          </w:p>
        </w:tc>
        <w:tc>
          <w:tcPr>
            <w:tcW w:w="1203" w:type="dxa"/>
            <w:tcBorders>
              <w:top w:val="nil"/>
              <w:left w:val="nil"/>
              <w:bottom w:val="nil"/>
              <w:right w:val="single" w:sz="8" w:space="0" w:color="000000"/>
            </w:tcBorders>
            <w:shd w:val="clear" w:color="auto" w:fill="auto"/>
            <w:vAlign w:val="bottom"/>
          </w:tcPr>
          <w:p w14:paraId="0000004F" w14:textId="77777777" w:rsidR="008F7D81" w:rsidRDefault="00B90D8E">
            <w:pPr>
              <w:spacing w:after="0" w:line="240" w:lineRule="auto"/>
              <w:jc w:val="right"/>
            </w:pPr>
            <w:r>
              <w:t>2.2%</w:t>
            </w:r>
          </w:p>
        </w:tc>
      </w:tr>
      <w:tr w:rsidR="008F7D81" w14:paraId="12103C4C"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50" w14:textId="77777777" w:rsidR="008F7D81" w:rsidRDefault="00B90D8E">
            <w:pPr>
              <w:spacing w:after="0" w:line="240" w:lineRule="auto"/>
              <w:ind w:firstLine="220"/>
            </w:pPr>
            <w:r>
              <w:t>Education</w:t>
            </w:r>
          </w:p>
        </w:tc>
        <w:tc>
          <w:tcPr>
            <w:tcW w:w="1876" w:type="dxa"/>
            <w:tcBorders>
              <w:top w:val="nil"/>
              <w:left w:val="nil"/>
              <w:bottom w:val="nil"/>
              <w:right w:val="nil"/>
            </w:tcBorders>
            <w:shd w:val="clear" w:color="auto" w:fill="auto"/>
            <w:vAlign w:val="bottom"/>
          </w:tcPr>
          <w:p w14:paraId="00000051" w14:textId="77777777" w:rsidR="008F7D81" w:rsidRDefault="00B90D8E">
            <w:pPr>
              <w:spacing w:after="0" w:line="240" w:lineRule="auto"/>
              <w:jc w:val="right"/>
            </w:pPr>
            <w:r>
              <w:t>3</w:t>
            </w:r>
          </w:p>
        </w:tc>
        <w:tc>
          <w:tcPr>
            <w:tcW w:w="1203" w:type="dxa"/>
            <w:tcBorders>
              <w:top w:val="nil"/>
              <w:left w:val="nil"/>
              <w:bottom w:val="nil"/>
              <w:right w:val="single" w:sz="8" w:space="0" w:color="000000"/>
            </w:tcBorders>
            <w:shd w:val="clear" w:color="auto" w:fill="auto"/>
            <w:vAlign w:val="bottom"/>
          </w:tcPr>
          <w:p w14:paraId="00000052" w14:textId="77777777" w:rsidR="008F7D81" w:rsidRDefault="00B90D8E">
            <w:pPr>
              <w:spacing w:after="0" w:line="240" w:lineRule="auto"/>
              <w:jc w:val="right"/>
            </w:pPr>
            <w:r>
              <w:t>3.3%</w:t>
            </w:r>
          </w:p>
        </w:tc>
      </w:tr>
      <w:tr w:rsidR="008F7D81" w14:paraId="13E5EB1B"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53" w14:textId="77777777" w:rsidR="008F7D81" w:rsidRDefault="00B90D8E">
            <w:pPr>
              <w:spacing w:after="0" w:line="240" w:lineRule="auto"/>
              <w:ind w:firstLine="220"/>
            </w:pPr>
            <w:r>
              <w:lastRenderedPageBreak/>
              <w:t>Transportation and Logistics</w:t>
            </w:r>
          </w:p>
        </w:tc>
        <w:tc>
          <w:tcPr>
            <w:tcW w:w="1876" w:type="dxa"/>
            <w:tcBorders>
              <w:top w:val="nil"/>
              <w:left w:val="nil"/>
              <w:bottom w:val="nil"/>
              <w:right w:val="nil"/>
            </w:tcBorders>
            <w:shd w:val="clear" w:color="auto" w:fill="auto"/>
            <w:vAlign w:val="bottom"/>
          </w:tcPr>
          <w:p w14:paraId="00000054" w14:textId="77777777" w:rsidR="008F7D81" w:rsidRDefault="00B90D8E">
            <w:pPr>
              <w:spacing w:after="0" w:line="240" w:lineRule="auto"/>
              <w:jc w:val="right"/>
            </w:pPr>
            <w:r>
              <w:t>7</w:t>
            </w:r>
          </w:p>
        </w:tc>
        <w:tc>
          <w:tcPr>
            <w:tcW w:w="1203" w:type="dxa"/>
            <w:tcBorders>
              <w:top w:val="nil"/>
              <w:left w:val="nil"/>
              <w:bottom w:val="nil"/>
              <w:right w:val="single" w:sz="8" w:space="0" w:color="000000"/>
            </w:tcBorders>
            <w:shd w:val="clear" w:color="auto" w:fill="auto"/>
            <w:vAlign w:val="bottom"/>
          </w:tcPr>
          <w:p w14:paraId="00000055" w14:textId="77777777" w:rsidR="008F7D81" w:rsidRDefault="00B90D8E">
            <w:pPr>
              <w:spacing w:after="0" w:line="240" w:lineRule="auto"/>
              <w:jc w:val="right"/>
            </w:pPr>
            <w:r>
              <w:t>7.8%</w:t>
            </w:r>
          </w:p>
        </w:tc>
      </w:tr>
      <w:tr w:rsidR="008F7D81" w14:paraId="767926D3"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56" w14:textId="77777777" w:rsidR="008F7D81" w:rsidRDefault="00B90D8E">
            <w:pPr>
              <w:spacing w:after="0" w:line="240" w:lineRule="auto"/>
              <w:ind w:firstLine="220"/>
            </w:pPr>
            <w:r>
              <w:t>Automotive</w:t>
            </w:r>
          </w:p>
        </w:tc>
        <w:tc>
          <w:tcPr>
            <w:tcW w:w="1876" w:type="dxa"/>
            <w:tcBorders>
              <w:top w:val="nil"/>
              <w:left w:val="nil"/>
              <w:bottom w:val="nil"/>
              <w:right w:val="nil"/>
            </w:tcBorders>
            <w:shd w:val="clear" w:color="auto" w:fill="auto"/>
            <w:vAlign w:val="bottom"/>
          </w:tcPr>
          <w:p w14:paraId="00000057" w14:textId="77777777" w:rsidR="008F7D81" w:rsidRDefault="00B90D8E">
            <w:pPr>
              <w:spacing w:after="0" w:line="240" w:lineRule="auto"/>
              <w:jc w:val="right"/>
            </w:pPr>
            <w:r>
              <w:t>6</w:t>
            </w:r>
          </w:p>
        </w:tc>
        <w:tc>
          <w:tcPr>
            <w:tcW w:w="1203" w:type="dxa"/>
            <w:tcBorders>
              <w:top w:val="nil"/>
              <w:left w:val="nil"/>
              <w:bottom w:val="nil"/>
              <w:right w:val="single" w:sz="8" w:space="0" w:color="000000"/>
            </w:tcBorders>
            <w:shd w:val="clear" w:color="auto" w:fill="auto"/>
            <w:vAlign w:val="bottom"/>
          </w:tcPr>
          <w:p w14:paraId="00000058" w14:textId="77777777" w:rsidR="008F7D81" w:rsidRDefault="00B90D8E">
            <w:pPr>
              <w:spacing w:after="0" w:line="240" w:lineRule="auto"/>
              <w:jc w:val="right"/>
            </w:pPr>
            <w:r>
              <w:t>6.7%</w:t>
            </w:r>
          </w:p>
        </w:tc>
      </w:tr>
      <w:tr w:rsidR="008F7D81" w14:paraId="20D35973"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59" w14:textId="77777777" w:rsidR="008F7D81" w:rsidRDefault="00B90D8E">
            <w:pPr>
              <w:spacing w:after="0" w:line="240" w:lineRule="auto"/>
              <w:ind w:firstLine="220"/>
            </w:pPr>
            <w:r>
              <w:t>Manufacturing</w:t>
            </w:r>
          </w:p>
        </w:tc>
        <w:tc>
          <w:tcPr>
            <w:tcW w:w="1876" w:type="dxa"/>
            <w:tcBorders>
              <w:top w:val="nil"/>
              <w:left w:val="nil"/>
              <w:bottom w:val="nil"/>
              <w:right w:val="nil"/>
            </w:tcBorders>
            <w:shd w:val="clear" w:color="auto" w:fill="auto"/>
            <w:vAlign w:val="bottom"/>
          </w:tcPr>
          <w:p w14:paraId="0000005A" w14:textId="77777777" w:rsidR="008F7D81" w:rsidRDefault="00B90D8E">
            <w:pPr>
              <w:spacing w:after="0" w:line="240" w:lineRule="auto"/>
              <w:jc w:val="right"/>
            </w:pPr>
            <w:r>
              <w:t>15</w:t>
            </w:r>
          </w:p>
        </w:tc>
        <w:tc>
          <w:tcPr>
            <w:tcW w:w="1203" w:type="dxa"/>
            <w:tcBorders>
              <w:top w:val="nil"/>
              <w:left w:val="nil"/>
              <w:bottom w:val="nil"/>
              <w:right w:val="single" w:sz="8" w:space="0" w:color="000000"/>
            </w:tcBorders>
            <w:shd w:val="clear" w:color="auto" w:fill="auto"/>
            <w:vAlign w:val="bottom"/>
          </w:tcPr>
          <w:p w14:paraId="0000005B" w14:textId="77777777" w:rsidR="008F7D81" w:rsidRDefault="00B90D8E">
            <w:pPr>
              <w:spacing w:after="0" w:line="240" w:lineRule="auto"/>
              <w:jc w:val="right"/>
            </w:pPr>
            <w:r>
              <w:t>16.7%</w:t>
            </w:r>
          </w:p>
        </w:tc>
      </w:tr>
      <w:tr w:rsidR="008F7D81" w14:paraId="671B60B9" w14:textId="77777777">
        <w:trPr>
          <w:trHeight w:val="300"/>
          <w:jc w:val="center"/>
        </w:trPr>
        <w:tc>
          <w:tcPr>
            <w:tcW w:w="4321" w:type="dxa"/>
            <w:tcBorders>
              <w:top w:val="nil"/>
              <w:left w:val="single" w:sz="8" w:space="0" w:color="000000"/>
              <w:bottom w:val="nil"/>
              <w:right w:val="nil"/>
            </w:tcBorders>
            <w:shd w:val="clear" w:color="auto" w:fill="auto"/>
            <w:vAlign w:val="center"/>
          </w:tcPr>
          <w:p w14:paraId="0000005C" w14:textId="77777777" w:rsidR="008F7D81" w:rsidRDefault="00B90D8E">
            <w:pPr>
              <w:spacing w:after="0" w:line="240" w:lineRule="auto"/>
              <w:ind w:firstLine="220"/>
            </w:pPr>
            <w:r>
              <w:t>Healthcare</w:t>
            </w:r>
          </w:p>
        </w:tc>
        <w:tc>
          <w:tcPr>
            <w:tcW w:w="1876" w:type="dxa"/>
            <w:tcBorders>
              <w:top w:val="nil"/>
              <w:left w:val="nil"/>
              <w:bottom w:val="nil"/>
              <w:right w:val="nil"/>
            </w:tcBorders>
            <w:shd w:val="clear" w:color="auto" w:fill="auto"/>
            <w:vAlign w:val="bottom"/>
          </w:tcPr>
          <w:p w14:paraId="0000005D" w14:textId="77777777" w:rsidR="008F7D81" w:rsidRDefault="00B90D8E">
            <w:pPr>
              <w:spacing w:after="0" w:line="240" w:lineRule="auto"/>
              <w:jc w:val="right"/>
            </w:pPr>
            <w:r>
              <w:t>15</w:t>
            </w:r>
          </w:p>
        </w:tc>
        <w:tc>
          <w:tcPr>
            <w:tcW w:w="1203" w:type="dxa"/>
            <w:tcBorders>
              <w:top w:val="nil"/>
              <w:left w:val="nil"/>
              <w:bottom w:val="nil"/>
              <w:right w:val="single" w:sz="8" w:space="0" w:color="000000"/>
            </w:tcBorders>
            <w:shd w:val="clear" w:color="auto" w:fill="auto"/>
            <w:vAlign w:val="bottom"/>
          </w:tcPr>
          <w:p w14:paraId="0000005E" w14:textId="77777777" w:rsidR="008F7D81" w:rsidRDefault="00B90D8E">
            <w:pPr>
              <w:spacing w:after="0" w:line="240" w:lineRule="auto"/>
              <w:jc w:val="right"/>
            </w:pPr>
            <w:r>
              <w:t>16.7%</w:t>
            </w:r>
          </w:p>
        </w:tc>
      </w:tr>
      <w:tr w:rsidR="008F7D81" w14:paraId="205A9225" w14:textId="77777777">
        <w:trPr>
          <w:trHeight w:val="300"/>
          <w:jc w:val="center"/>
        </w:trPr>
        <w:tc>
          <w:tcPr>
            <w:tcW w:w="4321" w:type="dxa"/>
            <w:tcBorders>
              <w:top w:val="nil"/>
              <w:left w:val="single" w:sz="8" w:space="0" w:color="000000"/>
              <w:bottom w:val="single" w:sz="4" w:space="0" w:color="000000"/>
              <w:right w:val="nil"/>
            </w:tcBorders>
            <w:shd w:val="clear" w:color="auto" w:fill="auto"/>
            <w:vAlign w:val="center"/>
          </w:tcPr>
          <w:p w14:paraId="0000005F" w14:textId="77777777" w:rsidR="008F7D81" w:rsidRDefault="00B90D8E">
            <w:pPr>
              <w:spacing w:after="0" w:line="240" w:lineRule="auto"/>
              <w:ind w:firstLine="220"/>
            </w:pPr>
            <w:r>
              <w:t>Construction</w:t>
            </w:r>
          </w:p>
        </w:tc>
        <w:tc>
          <w:tcPr>
            <w:tcW w:w="1876" w:type="dxa"/>
            <w:tcBorders>
              <w:top w:val="nil"/>
              <w:left w:val="nil"/>
              <w:bottom w:val="single" w:sz="4" w:space="0" w:color="000000"/>
              <w:right w:val="nil"/>
            </w:tcBorders>
            <w:shd w:val="clear" w:color="auto" w:fill="auto"/>
            <w:vAlign w:val="bottom"/>
          </w:tcPr>
          <w:p w14:paraId="00000060" w14:textId="77777777" w:rsidR="008F7D81" w:rsidRDefault="00B90D8E">
            <w:pPr>
              <w:spacing w:after="0" w:line="240" w:lineRule="auto"/>
              <w:jc w:val="right"/>
            </w:pPr>
            <w:r>
              <w:t>28</w:t>
            </w:r>
          </w:p>
        </w:tc>
        <w:tc>
          <w:tcPr>
            <w:tcW w:w="1203" w:type="dxa"/>
            <w:tcBorders>
              <w:top w:val="nil"/>
              <w:left w:val="nil"/>
              <w:bottom w:val="nil"/>
              <w:right w:val="single" w:sz="8" w:space="0" w:color="000000"/>
            </w:tcBorders>
            <w:shd w:val="clear" w:color="auto" w:fill="auto"/>
            <w:vAlign w:val="bottom"/>
          </w:tcPr>
          <w:p w14:paraId="00000061" w14:textId="77777777" w:rsidR="008F7D81" w:rsidRDefault="00B90D8E">
            <w:pPr>
              <w:spacing w:after="0" w:line="240" w:lineRule="auto"/>
              <w:jc w:val="right"/>
            </w:pPr>
            <w:r>
              <w:t>31.1%</w:t>
            </w:r>
          </w:p>
        </w:tc>
      </w:tr>
      <w:tr w:rsidR="008F7D81" w14:paraId="4DA54F5C" w14:textId="77777777">
        <w:trPr>
          <w:trHeight w:val="390"/>
          <w:jc w:val="center"/>
        </w:trPr>
        <w:tc>
          <w:tcPr>
            <w:tcW w:w="4321" w:type="dxa"/>
            <w:tcBorders>
              <w:top w:val="nil"/>
              <w:left w:val="single" w:sz="8" w:space="0" w:color="000000"/>
              <w:bottom w:val="single" w:sz="8" w:space="0" w:color="000000"/>
              <w:right w:val="nil"/>
            </w:tcBorders>
            <w:shd w:val="clear" w:color="auto" w:fill="auto"/>
            <w:vAlign w:val="center"/>
          </w:tcPr>
          <w:p w14:paraId="00000062" w14:textId="77777777" w:rsidR="008F7D81" w:rsidRDefault="00B90D8E">
            <w:pPr>
              <w:spacing w:after="0" w:line="240" w:lineRule="auto"/>
              <w:ind w:firstLine="280"/>
              <w:rPr>
                <w:b/>
                <w:sz w:val="28"/>
                <w:szCs w:val="28"/>
              </w:rPr>
            </w:pPr>
            <w:r>
              <w:rPr>
                <w:b/>
                <w:sz w:val="28"/>
                <w:szCs w:val="28"/>
              </w:rPr>
              <w:t>Total</w:t>
            </w:r>
          </w:p>
        </w:tc>
        <w:tc>
          <w:tcPr>
            <w:tcW w:w="1876" w:type="dxa"/>
            <w:tcBorders>
              <w:top w:val="nil"/>
              <w:left w:val="nil"/>
              <w:bottom w:val="single" w:sz="8" w:space="0" w:color="000000"/>
              <w:right w:val="nil"/>
            </w:tcBorders>
            <w:shd w:val="clear" w:color="auto" w:fill="auto"/>
            <w:vAlign w:val="bottom"/>
          </w:tcPr>
          <w:p w14:paraId="00000063" w14:textId="77777777" w:rsidR="008F7D81" w:rsidRDefault="00B90D8E">
            <w:pPr>
              <w:spacing w:after="0" w:line="240" w:lineRule="auto"/>
              <w:jc w:val="right"/>
              <w:rPr>
                <w:b/>
                <w:sz w:val="28"/>
                <w:szCs w:val="28"/>
              </w:rPr>
            </w:pPr>
            <w:r>
              <w:rPr>
                <w:b/>
                <w:sz w:val="28"/>
                <w:szCs w:val="28"/>
              </w:rPr>
              <w:t>90</w:t>
            </w:r>
          </w:p>
        </w:tc>
        <w:tc>
          <w:tcPr>
            <w:tcW w:w="1203" w:type="dxa"/>
            <w:tcBorders>
              <w:top w:val="single" w:sz="4" w:space="0" w:color="000000"/>
              <w:left w:val="nil"/>
              <w:bottom w:val="single" w:sz="8" w:space="0" w:color="000000"/>
              <w:right w:val="single" w:sz="8" w:space="0" w:color="000000"/>
            </w:tcBorders>
            <w:shd w:val="clear" w:color="auto" w:fill="auto"/>
            <w:vAlign w:val="bottom"/>
          </w:tcPr>
          <w:p w14:paraId="00000064" w14:textId="77777777" w:rsidR="008F7D81" w:rsidRDefault="00B90D8E">
            <w:pPr>
              <w:spacing w:after="0" w:line="240" w:lineRule="auto"/>
              <w:jc w:val="right"/>
              <w:rPr>
                <w:b/>
                <w:sz w:val="28"/>
                <w:szCs w:val="28"/>
              </w:rPr>
            </w:pPr>
            <w:r>
              <w:rPr>
                <w:b/>
                <w:sz w:val="28"/>
                <w:szCs w:val="28"/>
              </w:rPr>
              <w:t>100.0%</w:t>
            </w:r>
          </w:p>
        </w:tc>
      </w:tr>
    </w:tbl>
    <w:p w14:paraId="00000065" w14:textId="77777777" w:rsidR="008F7D81" w:rsidRDefault="008F7D81">
      <w:pPr>
        <w:pBdr>
          <w:top w:val="nil"/>
          <w:left w:val="nil"/>
          <w:bottom w:val="nil"/>
          <w:right w:val="nil"/>
          <w:between w:val="nil"/>
        </w:pBdr>
        <w:spacing w:after="0"/>
        <w:jc w:val="both"/>
        <w:rPr>
          <w:rFonts w:ascii="Arial" w:eastAsia="Arial" w:hAnsi="Arial" w:cs="Arial"/>
          <w:b/>
          <w:sz w:val="24"/>
          <w:szCs w:val="24"/>
        </w:rPr>
      </w:pPr>
    </w:p>
    <w:p w14:paraId="00000066" w14:textId="77777777"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The 2019-2020 school year ended with 74 youth apprentices enrolled, and the 2020-2021 year ended with 90 youth apprentices enrolled. There were 63 program completers in the 2020-2021 school year. At the last Maryland Apprenticeship and Training Council (MATC) meeting, approximately 24 Youth Apprenticeship (YA) employers were on the agenda for program approval. The program continues to grow even amidst the challenges brought about by the pandemic.</w:t>
      </w:r>
    </w:p>
    <w:p w14:paraId="00000067" w14:textId="77777777" w:rsidR="008F7D81" w:rsidRDefault="008F7D81">
      <w:pPr>
        <w:pBdr>
          <w:top w:val="nil"/>
          <w:left w:val="nil"/>
          <w:bottom w:val="nil"/>
          <w:right w:val="nil"/>
          <w:between w:val="nil"/>
        </w:pBdr>
        <w:spacing w:after="0"/>
        <w:ind w:left="360"/>
        <w:jc w:val="both"/>
        <w:rPr>
          <w:rFonts w:ascii="Arial" w:eastAsia="Arial" w:hAnsi="Arial" w:cs="Arial"/>
          <w:sz w:val="24"/>
          <w:szCs w:val="24"/>
        </w:rPr>
      </w:pPr>
    </w:p>
    <w:p w14:paraId="00000068" w14:textId="77777777"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As of right now, for this coming fall, Independent Electrical Contractors (IEC) Chesapeake will have between 30-35 youth apprentices active and registered in the system. </w:t>
      </w:r>
    </w:p>
    <w:p w14:paraId="00000069" w14:textId="77777777" w:rsidR="008F7D81" w:rsidRDefault="008F7D81">
      <w:pPr>
        <w:pBdr>
          <w:top w:val="nil"/>
          <w:left w:val="nil"/>
          <w:bottom w:val="nil"/>
          <w:right w:val="nil"/>
          <w:between w:val="nil"/>
        </w:pBdr>
        <w:spacing w:after="0"/>
        <w:ind w:left="360"/>
        <w:jc w:val="both"/>
        <w:rPr>
          <w:rFonts w:ascii="Arial" w:eastAsia="Arial" w:hAnsi="Arial" w:cs="Arial"/>
          <w:sz w:val="24"/>
          <w:szCs w:val="24"/>
        </w:rPr>
      </w:pPr>
    </w:p>
    <w:p w14:paraId="0000006A" w14:textId="77777777"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MATP has begun planning sessions with Apprenticeship Maryland Program (AMP) Coordinators. All sessions have been scheduled with participating school systems. The purpose of these meetings is to plan for the upcoming school year. </w:t>
      </w:r>
    </w:p>
    <w:p w14:paraId="0000006B" w14:textId="77777777" w:rsidR="008F7D81" w:rsidRDefault="008F7D81">
      <w:pPr>
        <w:pBdr>
          <w:top w:val="nil"/>
          <w:left w:val="nil"/>
          <w:bottom w:val="nil"/>
          <w:right w:val="nil"/>
          <w:between w:val="nil"/>
        </w:pBdr>
        <w:spacing w:after="0"/>
        <w:ind w:left="360"/>
        <w:jc w:val="both"/>
        <w:rPr>
          <w:rFonts w:ascii="Arial" w:eastAsia="Arial" w:hAnsi="Arial" w:cs="Arial"/>
          <w:sz w:val="24"/>
          <w:szCs w:val="24"/>
        </w:rPr>
      </w:pPr>
    </w:p>
    <w:p w14:paraId="0000006C" w14:textId="77777777"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Program Manager Smith will call Chairperson Shmelzer to discuss challenges with student engagement. Recruitment is especially difficult when programs are in their infancy. COVID-19 and the inability to see and be with parents and students has been a significant challenge. There is such value in conducting information sessions because they generate parent and student buy in. </w:t>
      </w:r>
    </w:p>
    <w:p w14:paraId="0000006D" w14:textId="77777777" w:rsidR="008F7D81" w:rsidRDefault="008F7D81">
      <w:pPr>
        <w:pBdr>
          <w:top w:val="nil"/>
          <w:left w:val="nil"/>
          <w:bottom w:val="nil"/>
          <w:right w:val="nil"/>
          <w:between w:val="nil"/>
        </w:pBdr>
        <w:spacing w:after="0"/>
        <w:ind w:left="360"/>
        <w:jc w:val="both"/>
        <w:rPr>
          <w:rFonts w:ascii="Arial" w:eastAsia="Arial" w:hAnsi="Arial" w:cs="Arial"/>
          <w:b/>
          <w:sz w:val="24"/>
          <w:szCs w:val="24"/>
        </w:rPr>
      </w:pPr>
    </w:p>
    <w:p w14:paraId="0000006E"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MSDE Update – 2020-2021 School Year Wrap-Up</w:t>
      </w:r>
    </w:p>
    <w:p w14:paraId="0000006F" w14:textId="77777777" w:rsidR="008F7D81" w:rsidRDefault="008F7D81">
      <w:pPr>
        <w:spacing w:after="0"/>
        <w:ind w:left="360"/>
        <w:jc w:val="both"/>
        <w:rPr>
          <w:rFonts w:ascii="Arial" w:eastAsia="Arial" w:hAnsi="Arial" w:cs="Arial"/>
          <w:sz w:val="24"/>
          <w:szCs w:val="24"/>
        </w:rPr>
      </w:pPr>
    </w:p>
    <w:p w14:paraId="00000070"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The Maryland State Department of Education (MSDE) Director of Career Programs, Marquita Friday shared some updates:</w:t>
      </w:r>
    </w:p>
    <w:p w14:paraId="00000071" w14:textId="77777777" w:rsidR="008F7D81" w:rsidRDefault="008F7D81">
      <w:pPr>
        <w:spacing w:after="0"/>
        <w:jc w:val="both"/>
        <w:rPr>
          <w:rFonts w:ascii="Arial" w:eastAsia="Arial" w:hAnsi="Arial" w:cs="Arial"/>
          <w:sz w:val="24"/>
          <w:szCs w:val="24"/>
        </w:rPr>
      </w:pPr>
    </w:p>
    <w:p w14:paraId="00000072" w14:textId="77777777"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is having conversations about data.They continue to track students to see if they are staying in apprenticeships after their high school graduation. A Career and Technical Education (CTE) data person is going to create a flag in the system that will identify all of the courses that students can get work based learning credit for (this will begin for next school year). This will allow for tracking of enrollment and matching to high school data collection in the Maryland Longitudinal Data System Center, which will give enhanced data on what students are doing after highschool, in their apprenticeships, etc. </w:t>
      </w:r>
    </w:p>
    <w:p w14:paraId="00000073" w14:textId="77777777" w:rsidR="008F7D81" w:rsidRDefault="00B90D8E">
      <w:pPr>
        <w:numPr>
          <w:ilvl w:val="1"/>
          <w:numId w:val="3"/>
        </w:numPr>
        <w:spacing w:after="0"/>
        <w:jc w:val="both"/>
        <w:rPr>
          <w:rFonts w:ascii="Arial" w:eastAsia="Arial" w:hAnsi="Arial" w:cs="Arial"/>
          <w:sz w:val="24"/>
          <w:szCs w:val="24"/>
        </w:rPr>
      </w:pPr>
      <w:r>
        <w:rPr>
          <w:rFonts w:ascii="Arial" w:eastAsia="Arial" w:hAnsi="Arial" w:cs="Arial"/>
          <w:sz w:val="24"/>
          <w:szCs w:val="24"/>
        </w:rPr>
        <w:t xml:space="preserve">From the most recent State Apprenticeship Expansion (SAE) grant that MD Labor was awarded, there is funding to modernize the apprenticeship database. There could be a YA module in AIMS where each participating Local Public School System (LPSS) would be set up as a Sponsor, and YAs would be housed under each LPSS. MATP is looking into a functionality for Sponsors to electronically add YA agreements on AIMS. </w:t>
      </w:r>
    </w:p>
    <w:p w14:paraId="00000074" w14:textId="77777777" w:rsidR="008F7D81" w:rsidRDefault="00B90D8E">
      <w:pPr>
        <w:numPr>
          <w:ilvl w:val="1"/>
          <w:numId w:val="3"/>
        </w:numPr>
        <w:spacing w:after="0"/>
        <w:jc w:val="both"/>
        <w:rPr>
          <w:rFonts w:ascii="Arial" w:eastAsia="Arial" w:hAnsi="Arial" w:cs="Arial"/>
          <w:sz w:val="24"/>
          <w:szCs w:val="24"/>
        </w:rPr>
      </w:pPr>
      <w:r>
        <w:rPr>
          <w:rFonts w:ascii="Arial" w:eastAsia="Arial" w:hAnsi="Arial" w:cs="Arial"/>
          <w:sz w:val="24"/>
          <w:szCs w:val="24"/>
        </w:rPr>
        <w:t>Society of Human Resource Management (SHRM) is now a Sponsor with the U.S. Department of Labor and in a recent conversation MSDE had with them, they expressed interest in submitting to Maryland. SHRM already has a large scope of partners which could be good for expansion.</w:t>
      </w:r>
    </w:p>
    <w:p w14:paraId="00000075" w14:textId="77777777"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plans on hosting an AMP Conference next year. They are aiming for an April date, but planning has not yet begun. </w:t>
      </w:r>
    </w:p>
    <w:p w14:paraId="00000076" w14:textId="77777777"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continues to have conversations with MATP Director MacLarion about prevailing problems, Sponsors in different school systems, and the consistency of related instruction. It could be good to get together and lay out all of the issues related to related instruction and anything else, and then go from there to systematically resolve these issues. </w:t>
      </w:r>
    </w:p>
    <w:p w14:paraId="00000077" w14:textId="77777777" w:rsidR="008F7D81" w:rsidRDefault="008F7D81">
      <w:pPr>
        <w:spacing w:after="0"/>
        <w:ind w:left="360"/>
        <w:jc w:val="both"/>
        <w:rPr>
          <w:rFonts w:ascii="Arial" w:eastAsia="Arial" w:hAnsi="Arial" w:cs="Arial"/>
          <w:sz w:val="24"/>
          <w:szCs w:val="24"/>
        </w:rPr>
      </w:pPr>
    </w:p>
    <w:p w14:paraId="00000078"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14:paraId="00000079" w14:textId="77777777" w:rsidR="008F7D81" w:rsidRDefault="008F7D81">
      <w:pPr>
        <w:spacing w:after="0"/>
        <w:jc w:val="both"/>
        <w:rPr>
          <w:rFonts w:ascii="Arial" w:eastAsia="Arial" w:hAnsi="Arial" w:cs="Arial"/>
          <w:sz w:val="24"/>
          <w:szCs w:val="24"/>
        </w:rPr>
      </w:pPr>
    </w:p>
    <w:p w14:paraId="0000007A"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YA legislation sunsetted, but the program continues to function under the same rules of that legislation. MD Labor will be developing a YA policy to provide clear guidance, uniformity, and to address recurring issues. The MD Labor Division of Workforce Development and Adult Learning (DWDAL) Policy Unit will convene a group of subject matter experts (SME) to weigh in on the policy development. Individuals are currently being identified for the YA policy, and the SME group will include employers/Sponsors and representation from MD Labor, MSDE, LPSS’, Commerce, etc. This is a very collaborative process. The policy will capture all elements of the system to ensure that this program runs smoothly and to provide a framework to move forward. </w:t>
      </w:r>
    </w:p>
    <w:p w14:paraId="0000007B" w14:textId="77777777" w:rsidR="008F7D81" w:rsidRDefault="008F7D81">
      <w:pPr>
        <w:spacing w:after="0"/>
        <w:ind w:left="360"/>
        <w:jc w:val="both"/>
        <w:rPr>
          <w:rFonts w:ascii="Arial" w:eastAsia="Arial" w:hAnsi="Arial" w:cs="Arial"/>
          <w:sz w:val="24"/>
          <w:szCs w:val="24"/>
        </w:rPr>
      </w:pPr>
    </w:p>
    <w:p w14:paraId="0000007C"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The policy kickoff will be in the next two months. Reach out to Program Manager Smith if you have any questions or if you are interested in being a part of the policy development process.</w:t>
      </w:r>
    </w:p>
    <w:p w14:paraId="0000007D" w14:textId="77777777" w:rsidR="008F7D81" w:rsidRDefault="008F7D81">
      <w:pPr>
        <w:spacing w:after="0"/>
        <w:jc w:val="both"/>
        <w:rPr>
          <w:rFonts w:ascii="Arial" w:eastAsia="Arial" w:hAnsi="Arial" w:cs="Arial"/>
          <w:b/>
          <w:sz w:val="24"/>
          <w:szCs w:val="24"/>
        </w:rPr>
      </w:pPr>
    </w:p>
    <w:p w14:paraId="0000007E"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14:paraId="0000007F" w14:textId="77777777"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14:paraId="00000080"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None.</w:t>
      </w:r>
    </w:p>
    <w:p w14:paraId="00000081" w14:textId="77777777" w:rsidR="008F7D81" w:rsidRDefault="008F7D81">
      <w:pPr>
        <w:pBdr>
          <w:top w:val="nil"/>
          <w:left w:val="nil"/>
          <w:bottom w:val="nil"/>
          <w:right w:val="nil"/>
          <w:between w:val="nil"/>
        </w:pBdr>
        <w:spacing w:after="0"/>
        <w:ind w:left="1080"/>
        <w:jc w:val="both"/>
        <w:rPr>
          <w:rFonts w:ascii="Arial" w:eastAsia="Arial" w:hAnsi="Arial" w:cs="Arial"/>
          <w:b/>
          <w:color w:val="000000"/>
          <w:sz w:val="24"/>
          <w:szCs w:val="24"/>
        </w:rPr>
      </w:pPr>
    </w:p>
    <w:p w14:paraId="00000082"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14:paraId="00000083" w14:textId="77777777" w:rsidR="008F7D81" w:rsidRDefault="008F7D81">
      <w:pPr>
        <w:spacing w:after="0"/>
        <w:jc w:val="both"/>
        <w:rPr>
          <w:rFonts w:ascii="Arial" w:eastAsia="Arial" w:hAnsi="Arial" w:cs="Arial"/>
          <w:sz w:val="24"/>
          <w:szCs w:val="24"/>
        </w:rPr>
      </w:pPr>
    </w:p>
    <w:p w14:paraId="00000084"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can use SAE funding for marketing, and much progress has been made on that front: </w:t>
      </w:r>
    </w:p>
    <w:p w14:paraId="00000085" w14:textId="77777777" w:rsidR="008F7D81" w:rsidRDefault="008F7D81">
      <w:pPr>
        <w:spacing w:after="0"/>
        <w:ind w:left="360"/>
        <w:jc w:val="both"/>
        <w:rPr>
          <w:rFonts w:ascii="Arial" w:eastAsia="Arial" w:hAnsi="Arial" w:cs="Arial"/>
          <w:sz w:val="24"/>
          <w:szCs w:val="24"/>
        </w:rPr>
      </w:pPr>
    </w:p>
    <w:p w14:paraId="00000086"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The Request for Proposal (RFP) for video production has closed and a vendor was selected. At least three videos will be made, one of which will be tailored toward YA.</w:t>
      </w:r>
    </w:p>
    <w:p w14:paraId="00000087"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MD Labor continues to work with Maryland’s Motor Vehicle Administration (MVA) to design apprenticeship content and visual appeal for MVAs television monitors.</w:t>
      </w:r>
    </w:p>
    <w:p w14:paraId="00000088"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This November, buses will be wrapped in alignment with National Apprenticeship week.</w:t>
      </w:r>
    </w:p>
    <w:p w14:paraId="00000089" w14:textId="77777777" w:rsidR="008F7D81" w:rsidRDefault="008F7D81">
      <w:pPr>
        <w:spacing w:after="0"/>
        <w:ind w:left="360"/>
        <w:jc w:val="both"/>
        <w:rPr>
          <w:rFonts w:ascii="Arial" w:eastAsia="Arial" w:hAnsi="Arial" w:cs="Arial"/>
          <w:sz w:val="24"/>
          <w:szCs w:val="24"/>
        </w:rPr>
      </w:pPr>
    </w:p>
    <w:p w14:paraId="0000008A"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Some considerations brought up include:</w:t>
      </w:r>
    </w:p>
    <w:p w14:paraId="0000008B" w14:textId="77777777" w:rsidR="008F7D81" w:rsidRDefault="008F7D81">
      <w:pPr>
        <w:spacing w:after="0"/>
        <w:ind w:left="360"/>
        <w:jc w:val="both"/>
        <w:rPr>
          <w:rFonts w:ascii="Arial" w:eastAsia="Arial" w:hAnsi="Arial" w:cs="Arial"/>
          <w:sz w:val="24"/>
          <w:szCs w:val="24"/>
        </w:rPr>
      </w:pPr>
    </w:p>
    <w:p w14:paraId="0000008C" w14:textId="77777777" w:rsidR="008F7D81" w:rsidRDefault="00B90D8E">
      <w:pPr>
        <w:numPr>
          <w:ilvl w:val="0"/>
          <w:numId w:val="5"/>
        </w:numPr>
        <w:spacing w:after="0"/>
        <w:jc w:val="both"/>
        <w:rPr>
          <w:rFonts w:ascii="Arial" w:eastAsia="Arial" w:hAnsi="Arial" w:cs="Arial"/>
          <w:sz w:val="24"/>
          <w:szCs w:val="24"/>
        </w:rPr>
      </w:pPr>
      <w:r>
        <w:rPr>
          <w:rFonts w:ascii="Arial" w:eastAsia="Arial" w:hAnsi="Arial" w:cs="Arial"/>
          <w:sz w:val="24"/>
          <w:szCs w:val="24"/>
        </w:rPr>
        <w:t>Advertising based upon geofencing in the MVA areas; utilizing Facebook or Instagram advertising.</w:t>
      </w:r>
    </w:p>
    <w:p w14:paraId="0000008D" w14:textId="77777777" w:rsidR="008F7D81" w:rsidRDefault="00B90D8E">
      <w:pPr>
        <w:numPr>
          <w:ilvl w:val="0"/>
          <w:numId w:val="5"/>
        </w:numPr>
        <w:spacing w:after="0"/>
        <w:jc w:val="both"/>
        <w:rPr>
          <w:rFonts w:ascii="Arial" w:eastAsia="Arial" w:hAnsi="Arial" w:cs="Arial"/>
          <w:sz w:val="24"/>
          <w:szCs w:val="24"/>
        </w:rPr>
      </w:pPr>
      <w:r>
        <w:rPr>
          <w:rFonts w:ascii="Arial" w:eastAsia="Arial" w:hAnsi="Arial" w:cs="Arial"/>
          <w:sz w:val="24"/>
          <w:szCs w:val="24"/>
        </w:rPr>
        <w:t>Federal partners may be moving National Apprenticeship week.</w:t>
      </w:r>
    </w:p>
    <w:p w14:paraId="0000008E" w14:textId="77777777" w:rsidR="008F7D81" w:rsidRDefault="008F7D81">
      <w:pPr>
        <w:spacing w:after="0"/>
        <w:jc w:val="both"/>
        <w:rPr>
          <w:rFonts w:ascii="Arial" w:eastAsia="Arial" w:hAnsi="Arial" w:cs="Arial"/>
          <w:sz w:val="24"/>
          <w:szCs w:val="24"/>
        </w:rPr>
      </w:pPr>
    </w:p>
    <w:p w14:paraId="0000008F"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14:paraId="00000090" w14:textId="77777777" w:rsidR="008F7D81" w:rsidRDefault="008F7D81">
      <w:pPr>
        <w:spacing w:after="0"/>
        <w:ind w:left="360"/>
        <w:jc w:val="both"/>
        <w:rPr>
          <w:rFonts w:ascii="Arial" w:eastAsia="Arial" w:hAnsi="Arial" w:cs="Arial"/>
          <w:sz w:val="24"/>
          <w:szCs w:val="24"/>
          <w:highlight w:val="green"/>
        </w:rPr>
      </w:pPr>
    </w:p>
    <w:p w14:paraId="00000091"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The September meeting will be hybrid (members can attend in-person or virtually).</w:t>
      </w:r>
    </w:p>
    <w:p w14:paraId="00000092" w14:textId="77777777" w:rsidR="008F7D81" w:rsidRDefault="008F7D81">
      <w:pPr>
        <w:spacing w:after="0"/>
        <w:ind w:left="360"/>
        <w:jc w:val="both"/>
        <w:rPr>
          <w:rFonts w:ascii="Arial" w:eastAsia="Arial" w:hAnsi="Arial" w:cs="Arial"/>
          <w:sz w:val="24"/>
          <w:szCs w:val="24"/>
        </w:rPr>
      </w:pPr>
    </w:p>
    <w:p w14:paraId="00000093"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Rzepkowski thanked the group on behalf of the Department. He shared that in June, he and MD Labor Secretary Tiffany Robinson attended a graduation at Dynamic Auto, where the first youth apprentice who transitioned to a Registered Apprenticeship graduated! He and Secretary Robsinson also attended a signing ceremony in Dorchester with representatives from MSDE. Finally, he mentioned that that Department continues to roll out recovery funds to Local Areas, and urged folks to get involved. </w:t>
      </w:r>
    </w:p>
    <w:p w14:paraId="00000094" w14:textId="77777777" w:rsidR="008F7D81" w:rsidRDefault="008F7D81">
      <w:pPr>
        <w:spacing w:after="0"/>
        <w:ind w:left="360"/>
        <w:jc w:val="both"/>
        <w:rPr>
          <w:rFonts w:ascii="Arial" w:eastAsia="Arial" w:hAnsi="Arial" w:cs="Arial"/>
          <w:sz w:val="24"/>
          <w:szCs w:val="24"/>
        </w:rPr>
      </w:pPr>
    </w:p>
    <w:p w14:paraId="00000095"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 xml:space="preserve">The meeting adjourned. </w:t>
      </w:r>
    </w:p>
    <w:p w14:paraId="00000096" w14:textId="77777777" w:rsidR="008F7D81" w:rsidRDefault="00B90D8E">
      <w:pPr>
        <w:jc w:val="both"/>
        <w:rPr>
          <w:rFonts w:ascii="Arial" w:eastAsia="Arial" w:hAnsi="Arial" w:cs="Arial"/>
          <w:sz w:val="24"/>
          <w:szCs w:val="24"/>
        </w:rPr>
      </w:pPr>
      <w:r>
        <w:rPr>
          <w:rFonts w:ascii="Arial" w:eastAsia="Arial" w:hAnsi="Arial" w:cs="Arial"/>
          <w:sz w:val="24"/>
          <w:szCs w:val="24"/>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101600</wp:posOffset>
                </wp:positionV>
                <wp:extent cx="25495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4076000" y="3780000"/>
                          <a:ext cx="254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549525" cy="22225"/>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549525" cy="22225"/>
                        </a:xfrm>
                        <a:prstGeom prst="rect"/>
                        <a:ln/>
                      </pic:spPr>
                    </pic:pic>
                  </a:graphicData>
                </a:graphic>
              </wp:anchor>
            </w:drawing>
          </mc:Fallback>
        </mc:AlternateContent>
      </w:r>
    </w:p>
    <w:p w14:paraId="00000097" w14:textId="77777777" w:rsidR="008F7D81" w:rsidRDefault="00B90D8E">
      <w:pPr>
        <w:ind w:left="360"/>
        <w:jc w:val="both"/>
        <w:rPr>
          <w:rFonts w:ascii="Arial" w:eastAsia="Arial" w:hAnsi="Arial" w:cs="Arial"/>
          <w:b/>
          <w:sz w:val="24"/>
          <w:szCs w:val="24"/>
        </w:rPr>
      </w:pPr>
      <w:r>
        <w:rPr>
          <w:rFonts w:ascii="Arial" w:eastAsia="Arial" w:hAnsi="Arial" w:cs="Arial"/>
          <w:sz w:val="24"/>
          <w:szCs w:val="24"/>
        </w:rPr>
        <w:t xml:space="preserve">The next meeting of the Youth Apprenticeship Advisory Committee will be </w:t>
      </w:r>
      <w:r>
        <w:rPr>
          <w:rFonts w:ascii="Arial" w:eastAsia="Arial" w:hAnsi="Arial" w:cs="Arial"/>
          <w:b/>
          <w:sz w:val="24"/>
          <w:szCs w:val="24"/>
        </w:rPr>
        <w:t>September 23, 2021 at 10:30AM</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E88C" w14:textId="77777777" w:rsidR="00B90D8E" w:rsidRDefault="00B90D8E">
      <w:pPr>
        <w:spacing w:after="0" w:line="240" w:lineRule="auto"/>
      </w:pPr>
      <w:r>
        <w:separator/>
      </w:r>
    </w:p>
  </w:endnote>
  <w:endnote w:type="continuationSeparator" w:id="0">
    <w:p w14:paraId="21A3E660" w14:textId="77777777" w:rsidR="00B90D8E" w:rsidRDefault="00B9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7D2E" w14:textId="77777777" w:rsidR="00B90D8E" w:rsidRDefault="00B90D8E">
      <w:pPr>
        <w:spacing w:after="0" w:line="240" w:lineRule="auto"/>
      </w:pPr>
      <w:r>
        <w:separator/>
      </w:r>
    </w:p>
  </w:footnote>
  <w:footnote w:type="continuationSeparator" w:id="0">
    <w:p w14:paraId="7D014746" w14:textId="77777777" w:rsidR="00B90D8E" w:rsidRDefault="00B90D8E">
      <w:pPr>
        <w:spacing w:after="0" w:line="240" w:lineRule="auto"/>
      </w:pPr>
      <w:r>
        <w:continuationSeparator/>
      </w:r>
    </w:p>
  </w:footnote>
  <w:footnote w:id="1">
    <w:p w14:paraId="00000098" w14:textId="77777777" w:rsidR="008F7D81" w:rsidRDefault="00B90D8E">
      <w:pPr>
        <w:spacing w:after="0" w:line="240" w:lineRule="auto"/>
        <w:rPr>
          <w:sz w:val="20"/>
          <w:szCs w:val="20"/>
        </w:rPr>
      </w:pPr>
      <w:bookmarkStart w:id="2" w:name="_heading=h.gjdgxs" w:colFirst="0" w:colLast="0"/>
      <w:bookmarkEnd w:id="2"/>
      <w:r>
        <w:rPr>
          <w:rStyle w:val="FootnoteReference"/>
        </w:rPr>
        <w:footnoteRef/>
      </w:r>
      <w:r>
        <w:rPr>
          <w:sz w:val="20"/>
          <w:szCs w:val="20"/>
        </w:rPr>
        <w:t xml:space="preserve"> Please note that some school systems did NOT have youth apprentices in the 2020-2021 academic year, but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81"/>
    <w:rsid w:val="001D5C3B"/>
    <w:rsid w:val="008F7D81"/>
    <w:rsid w:val="00B90D8E"/>
    <w:rsid w:val="00B95460"/>
    <w:rsid w:val="00F7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Windows User</cp:lastModifiedBy>
  <cp:revision>2</cp:revision>
  <dcterms:created xsi:type="dcterms:W3CDTF">2021-10-27T13:11:00Z</dcterms:created>
  <dcterms:modified xsi:type="dcterms:W3CDTF">2021-10-27T13:11:00Z</dcterms:modified>
</cp:coreProperties>
</file>