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125CBA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November 17</w:t>
      </w:r>
      <w:r w:rsidR="00A373F6">
        <w:rPr>
          <w:rFonts w:ascii="Arial" w:hAnsi="Arial" w:cs="Arial"/>
          <w:b/>
          <w:i/>
          <w:sz w:val="28"/>
          <w:szCs w:val="28"/>
        </w:rPr>
        <w:t>, 2021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2021-2022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2021-2022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572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</w:t>
      </w:r>
      <w:r w:rsidR="00572C1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Status of</w:t>
      </w:r>
      <w:r w:rsidR="00572C13">
        <w:rPr>
          <w:rFonts w:ascii="Arial" w:hAnsi="Arial" w:cs="Arial"/>
          <w:sz w:val="24"/>
          <w:szCs w:val="24"/>
        </w:rPr>
        <w:t xml:space="preserve"> Policy Development Process and Background</w:t>
      </w:r>
    </w:p>
    <w:p w:rsidR="00572C13" w:rsidRPr="00BB7A33" w:rsidRDefault="00572C13" w:rsidP="00572C1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 </w:t>
      </w:r>
      <w:r w:rsidR="00B33D36">
        <w:rPr>
          <w:rFonts w:ascii="Arial" w:hAnsi="Arial" w:cs="Arial"/>
          <w:sz w:val="24"/>
          <w:szCs w:val="24"/>
        </w:rPr>
        <w:t>Preparations for 2022 Legislative Session</w:t>
      </w:r>
      <w:bookmarkStart w:id="0" w:name="_GoBack"/>
      <w:bookmarkEnd w:id="0"/>
    </w:p>
    <w:p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125CBA">
        <w:rPr>
          <w:rFonts w:ascii="Arial" w:hAnsi="Arial" w:cs="Arial"/>
          <w:sz w:val="24"/>
          <w:szCs w:val="24"/>
        </w:rPr>
        <w:t>National Apprenticeship Week Youth Apprenticeship Connections</w:t>
      </w:r>
      <w:r>
        <w:rPr>
          <w:rFonts w:ascii="Arial" w:hAnsi="Arial" w:cs="Arial"/>
          <w:sz w:val="24"/>
          <w:szCs w:val="24"/>
        </w:rPr>
        <w:t xml:space="preserve">;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635DC"/>
    <w:rsid w:val="00A0648F"/>
    <w:rsid w:val="00A24596"/>
    <w:rsid w:val="00A33F79"/>
    <w:rsid w:val="00A373F6"/>
    <w:rsid w:val="00A716A0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1F0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D936-2940-4F39-BDD5-6724239A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2021-11-09T12:40:00Z</dcterms:created>
  <dcterms:modified xsi:type="dcterms:W3CDTF">2021-11-09T12:40:00Z</dcterms:modified>
</cp:coreProperties>
</file>